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4FD" w:rsidRDefault="0061418B">
      <w:pPr>
        <w:spacing w:before="240" w:line="240" w:lineRule="auto"/>
        <w:jc w:val="both"/>
        <w:rPr>
          <w:rFonts w:ascii="Tahoma" w:eastAsia="Tahoma" w:hAnsi="Tahoma" w:cs="Tahoma"/>
          <w:b/>
        </w:rPr>
      </w:pPr>
      <w:r>
        <w:rPr>
          <w:rFonts w:ascii="Tahoma" w:eastAsia="Tahoma" w:hAnsi="Tahoma" w:cs="Tahoma"/>
          <w:b/>
          <w:color w:val="0070C0"/>
        </w:rPr>
        <w:t>Titre :</w:t>
      </w:r>
      <w:r>
        <w:rPr>
          <w:rFonts w:ascii="Tahoma" w:eastAsia="Tahoma" w:hAnsi="Tahoma" w:cs="Tahoma"/>
          <w:b/>
        </w:rPr>
        <w:t xml:space="preserve"> Les opinions des Franç</w:t>
      </w:r>
      <w:bookmarkStart w:id="0" w:name="_GoBack"/>
      <w:bookmarkEnd w:id="0"/>
      <w:r>
        <w:rPr>
          <w:rFonts w:ascii="Tahoma" w:eastAsia="Tahoma" w:hAnsi="Tahoma" w:cs="Tahoma"/>
          <w:b/>
        </w:rPr>
        <w:t>ais sur les politiques climatiques</w:t>
      </w:r>
    </w:p>
    <w:p w:rsidR="004564FD" w:rsidRDefault="0061418B">
      <w:pPr>
        <w:spacing w:before="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Thomas Douenne et Adrien Fabre</w:t>
      </w:r>
    </w:p>
    <w:p w:rsidR="004564FD" w:rsidRDefault="0061418B">
      <w:pPr>
        <w:spacing w:before="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line="240" w:lineRule="auto"/>
        <w:jc w:val="both"/>
        <w:rPr>
          <w:rFonts w:ascii="Tahoma" w:eastAsia="Tahoma" w:hAnsi="Tahoma" w:cs="Tahoma"/>
          <w:b/>
          <w:color w:val="0070C0"/>
        </w:rPr>
      </w:pPr>
      <w:r>
        <w:rPr>
          <w:rFonts w:ascii="Tahoma" w:eastAsia="Tahoma" w:hAnsi="Tahoma" w:cs="Tahoma"/>
          <w:b/>
          <w:color w:val="0070C0"/>
        </w:rPr>
        <w:t>Résumé</w:t>
      </w:r>
    </w:p>
    <w:p w:rsidR="004564FD" w:rsidRDefault="0061418B">
      <w:pPr>
        <w:spacing w:before="240" w:after="240" w:line="240" w:lineRule="auto"/>
        <w:jc w:val="both"/>
      </w:pPr>
      <w:r>
        <w:rPr>
          <w:rFonts w:ascii="Tahoma" w:eastAsia="Tahoma" w:hAnsi="Tahoma" w:cs="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redistribuées uniformément à chaque adulte, de façon à rendre la mesure progressive. Cela s’explique par une grande méfiance vis-à-vis d’une telle mesure : la plupart des gens pensent qu’elle nuirait à leur pouvoir d’achat, aux plus modestes, et qu’elle serait inefficace écologiquement.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rsidR="004564FD" w:rsidRDefault="0061418B">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Suite au mouvement des Gilets jaunes, les Français sont méfiants à l’égard de toute forme de taxe carbone : ils rejettent massivement une taxe conçue comme progressive car ils pensent qu’elle nuirait à leur pouvoir d’achat et aux plus modestes.</w:t>
      </w:r>
    </w:p>
    <w:p w:rsidR="004564FD" w:rsidRDefault="0061418B">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 xml:space="preserve">De nouvelles informations ne convainquent qu’un petit nombre de répondants, mais ce lien causal nous permet malgré tout de déduire que le rejet de la taxe est presque entièrement dû aux perceptions inexactes quant à ses effets. </w:t>
      </w:r>
    </w:p>
    <w:p w:rsidR="004564FD" w:rsidRDefault="0061418B">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 xml:space="preserve">Les Français sont conscients et inquiets </w:t>
      </w:r>
      <w:r>
        <w:rPr>
          <w:rFonts w:ascii="Tahoma" w:eastAsia="Tahoma" w:hAnsi="Tahoma" w:cs="Tahoma"/>
        </w:rPr>
        <w:lastRenderedPageBreak/>
        <w:t xml:space="preserve">du changement climatique, et prêts à changer de mode de vie si cela participe d’un effort collectif. Une majorité soutient plusieurs politiques climatiques, par exemple en faveur de l’isolation des bâtiments. </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rsidR="004564FD" w:rsidRDefault="0061418B">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 la taxe carbone, ou plus exactement la Contribution Climat-Énergie, dont les augmentations récentes ainsi que les nouvelles hausses prévues dès le mois de janvier ont affaibli le pouvoir d’achat des Français. Introduite en 2014 à hauteur de 7€ par tonne de CO</w:t>
      </w:r>
      <w:r w:rsidRPr="00736446">
        <w:rPr>
          <w:rFonts w:ascii="Tahoma" w:eastAsia="Tahoma" w:hAnsi="Tahoma" w:cs="Tahoma"/>
          <w:vertAlign w:val="subscript"/>
        </w:rPr>
        <w:t>2</w:t>
      </w:r>
      <w:r>
        <w:rPr>
          <w:rFonts w:ascii="Tahoma" w:eastAsia="Tahoma" w:hAnsi="Tahoma" w:cs="Tahoma"/>
        </w:rPr>
        <w:t xml:space="preserve"> (€/tCO</w:t>
      </w:r>
      <w:r w:rsidRPr="00736446">
        <w:rPr>
          <w:rFonts w:ascii="Tahoma" w:eastAsia="Tahoma" w:hAnsi="Tahoma" w:cs="Tahoma"/>
          <w:vertAlign w:val="subscript"/>
        </w:rPr>
        <w:t>2</w:t>
      </w:r>
      <w:r>
        <w:rPr>
          <w:rFonts w:ascii="Tahoma" w:eastAsia="Tahoma" w:hAnsi="Tahoma" w:cs="Tahoma"/>
        </w:rPr>
        <w:t>), cette taxe avait atteint 44,6€/tCO</w:t>
      </w:r>
      <w:r w:rsidRPr="00736446">
        <w:rPr>
          <w:rFonts w:ascii="Tahoma" w:eastAsia="Tahoma" w:hAnsi="Tahoma" w:cs="Tahoma"/>
          <w:vertAlign w:val="subscript"/>
        </w:rPr>
        <w:t>2</w:t>
      </w:r>
      <w:r>
        <w:rPr>
          <w:rFonts w:ascii="Tahoma" w:eastAsia="Tahoma" w:hAnsi="Tahoma" w:cs="Tahoma"/>
        </w:rPr>
        <w:t xml:space="preserve"> en 2018 et devait être portée à 86,2€/tCO</w:t>
      </w:r>
      <w:r w:rsidRPr="00736446">
        <w:rPr>
          <w:rFonts w:ascii="Tahoma" w:eastAsia="Tahoma" w:hAnsi="Tahoma" w:cs="Tahoma"/>
          <w:vertAlign w:val="subscript"/>
        </w:rPr>
        <w:t>2</w:t>
      </w:r>
      <w:r>
        <w:rPr>
          <w:rFonts w:ascii="Tahoma" w:eastAsia="Tahoma" w:hAnsi="Tahoma" w:cs="Tahoma"/>
        </w:rPr>
        <w:t xml:space="preserve"> en 2022, puis au-delà dans un futur proche. Devant le large soutien des Français aux revendications du mouvement, le gouvernement acta fin 2018 le gel de la taxe à </w:t>
      </w:r>
      <w:proofErr w:type="gramStart"/>
      <w:r>
        <w:rPr>
          <w:rFonts w:ascii="Tahoma" w:eastAsia="Tahoma" w:hAnsi="Tahoma" w:cs="Tahoma"/>
        </w:rPr>
        <w:t>son</w:t>
      </w:r>
      <w:proofErr w:type="gramEnd"/>
      <w:r>
        <w:rPr>
          <w:rFonts w:ascii="Tahoma" w:eastAsia="Tahoma" w:hAnsi="Tahoma" w:cs="Tahoma"/>
        </w:rPr>
        <w:t xml:space="preserve"> niveau du début de l’année.</w:t>
      </w:r>
    </w:p>
    <w:p w:rsidR="004564FD" w:rsidRDefault="0061418B">
      <w:pPr>
        <w:spacing w:before="240" w:after="240" w:line="240" w:lineRule="auto"/>
        <w:jc w:val="both"/>
        <w:rPr>
          <w:rFonts w:ascii="Tahoma" w:eastAsia="Tahoma" w:hAnsi="Tahoma" w:cs="Tahoma"/>
        </w:rPr>
      </w:pPr>
      <w:r>
        <w:rPr>
          <w:rFonts w:ascii="Tahoma" w:eastAsia="Tahoma" w:hAnsi="Tahoma" w:cs="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proofErr w:type="gramStart"/>
      <w:r>
        <w:rPr>
          <w:rFonts w:ascii="Tahoma" w:eastAsia="Tahoma" w:hAnsi="Tahoma" w:cs="Tahoma"/>
        </w:rPr>
        <w:t>)</w:t>
      </w:r>
      <w:r>
        <w:rPr>
          <w:rFonts w:ascii="Calibri" w:eastAsia="Calibri" w:hAnsi="Calibri" w:cs="Calibri"/>
          <w:color w:val="00000A"/>
        </w:rPr>
        <w:t>[</w:t>
      </w:r>
      <w:proofErr w:type="gramEnd"/>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Cette suite d’événements intervenant dans un contexte particulier soulève deux questions. Premièrement, on peut se demander si le fort rejet auquel a fait face la taxe carbone peut s’expliquer par un défaut de conception : en d’autres termes, si une taxe carbone plus équitable susciterait une plus grande approbation. Deuxièmement, au-delà de la taxe carbone, il convient de se demander quelles </w:t>
      </w:r>
      <w:r>
        <w:rPr>
          <w:rFonts w:ascii="Tahoma" w:eastAsia="Tahoma" w:hAnsi="Tahoma" w:cs="Tahoma"/>
        </w:rPr>
        <w:lastRenderedPageBreak/>
        <w:t>sont les perceptions des Français vis-à-vis du changement climatique, et quelles politiques ils seraient prêts à soutenir pour amorcer la transition énergétique et écologique.</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rsidR="004564FD" w:rsidRDefault="0061418B">
      <w:pPr>
        <w:spacing w:before="240" w:after="240" w:line="240" w:lineRule="auto"/>
        <w:jc w:val="both"/>
      </w:pPr>
      <w:r>
        <w:rPr>
          <w:rFonts w:ascii="Tahoma" w:eastAsia="Tahoma" w:hAnsi="Tahoma" w:cs="Tahoma"/>
        </w:rPr>
        <w:t xml:space="preserve">Cette note rapporte les résultats de deux études visant chacune à répondre aux questions précédentes. Ces travaux en anglais (Douenne &amp; Fabre, 2019 a, b) ont été réalisé à partir d’un </w:t>
      </w:r>
      <w:proofErr w:type="gramStart"/>
      <w:r>
        <w:rPr>
          <w:rFonts w:ascii="Tahoma" w:eastAsia="Tahoma" w:hAnsi="Tahoma" w:cs="Tahoma"/>
        </w:rPr>
        <w:t>sondage</w:t>
      </w:r>
      <w:r>
        <w:rPr>
          <w:rFonts w:ascii="Calibri" w:eastAsia="Calibri" w:hAnsi="Calibri" w:cs="Calibri"/>
          <w:color w:val="00000A"/>
        </w:rPr>
        <w:t>[</w:t>
      </w:r>
      <w:proofErr w:type="gramEnd"/>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sur l’échelle gauche-droite et relativement aux Gilets jaunes.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rsidR="004564FD" w:rsidRDefault="0061418B">
      <w:pPr>
        <w:spacing w:before="240" w:after="240" w:line="240" w:lineRule="auto"/>
        <w:jc w:val="both"/>
      </w:pPr>
      <w:r>
        <w:rPr>
          <w:rFonts w:ascii="Tahoma" w:eastAsia="Tahoma" w:hAnsi="Tahoma" w:cs="Tahoma"/>
        </w:rPr>
        <w:t>Les Français partagent largement la connaissance du caractère anthropique du changement climatique (72%), et la part qui ne croit pas à son existence est marginale (4%), comme le montre la Figure 1. En même temps, leurs connaissances de la science climatique sont limitées. Même si 77% cochent correctement « CO</w:t>
      </w:r>
      <w:r>
        <w:rPr>
          <w:rFonts w:ascii="Tahoma" w:eastAsia="Tahoma" w:hAnsi="Tahoma" w:cs="Tahoma"/>
          <w:vertAlign w:val="subscript"/>
        </w:rPr>
        <w:t>2</w:t>
      </w:r>
      <w:r>
        <w:rPr>
          <w:rFonts w:ascii="Tahoma" w:eastAsia="Tahoma" w:hAnsi="Tahoma" w:cs="Tahoma"/>
        </w:rPr>
        <w:t xml:space="preserve"> » comme un gaz à effet de </w:t>
      </w:r>
      <w:r>
        <w:rPr>
          <w:rFonts w:ascii="Tahoma" w:eastAsia="Tahoma" w:hAnsi="Tahoma" w:cs="Tahoma"/>
        </w:rPr>
        <w:lastRenderedPageBreak/>
        <w:t xml:space="preserve">serre, presque 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w:t>
      </w:r>
      <w:proofErr w:type="gramStart"/>
      <w:r>
        <w:rPr>
          <w:rFonts w:ascii="Tahoma" w:eastAsia="Tahoma" w:hAnsi="Tahoma" w:cs="Tahoma"/>
        </w:rPr>
        <w:t>train</w:t>
      </w:r>
      <w:proofErr w:type="gramEnd"/>
      <w:r>
        <w:rPr>
          <w:rFonts w:ascii="Tahoma" w:eastAsia="Tahoma" w:hAnsi="Tahoma" w:cs="Tahoma"/>
        </w:rPr>
        <w:t xml:space="preserve">, bœuf vs. </w:t>
      </w:r>
      <w:proofErr w:type="gramStart"/>
      <w:r>
        <w:rPr>
          <w:rFonts w:ascii="Tahoma" w:eastAsia="Tahoma" w:hAnsi="Tahoma" w:cs="Tahoma"/>
        </w:rPr>
        <w:t>pâtes</w:t>
      </w:r>
      <w:proofErr w:type="gramEnd"/>
      <w:r>
        <w:rPr>
          <w:rFonts w:ascii="Tahoma" w:eastAsia="Tahoma" w:hAnsi="Tahoma" w:cs="Tahoma"/>
        </w:rPr>
        <w:t xml:space="preserve">, nucléaire vs. </w:t>
      </w:r>
      <w:proofErr w:type="gramStart"/>
      <w:r>
        <w:rPr>
          <w:rFonts w:ascii="Tahoma" w:eastAsia="Tahoma" w:hAnsi="Tahoma" w:cs="Tahoma"/>
        </w:rPr>
        <w:t>éolien</w:t>
      </w:r>
      <w:proofErr w:type="gramEnd"/>
      <w:r>
        <w:rPr>
          <w:rFonts w:ascii="Tahoma" w:eastAsia="Tahoma" w:hAnsi="Tahoma" w:cs="Tahoma"/>
        </w:rPr>
        <w:t>.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 demande à combien elle devrait être ramenée en 2050 pour espérer contenir le changement climatique à +2°C en 2100, seuls 17% sélectionnent une réponse correcte : 0, 1 ou 2, tandis que 59% répondent 5 ou plus (Figure 2).</w:t>
      </w:r>
    </w:p>
    <w:p w:rsidR="004564FD" w:rsidRDefault="0061418B">
      <w:pPr>
        <w:spacing w:before="240" w:after="240" w:line="240" w:lineRule="auto"/>
        <w:jc w:val="both"/>
      </w:pPr>
      <w:r>
        <w:rPr>
          <w:noProof/>
          <w:lang w:val="en-US" w:eastAsia="en-US" w:bidi="ar-SA"/>
        </w:rPr>
        <mc:AlternateContent>
          <mc:Choice Requires="wps">
            <w:drawing>
              <wp:inline distT="0" distB="0" distL="0" distR="0" wp14:anchorId="3B390D9C" wp14:editId="16CBDD1C">
                <wp:extent cx="2944495" cy="689610"/>
                <wp:effectExtent l="0" t="0" r="0" b="0"/>
                <wp:docPr id="1" name="Rectangle 1"/>
                <wp:cNvGraphicFramePr/>
                <a:graphic xmlns:a="http://schemas.openxmlformats.org/drawingml/2006/main">
                  <a:graphicData uri="http://schemas.microsoft.com/office/word/2010/wordprocessingShape">
                    <wps:wsp>
                      <wps:cNvSpPr/>
                      <wps:spPr>
                        <a:xfrm>
                          <a:off x="0" y="0"/>
                          <a:ext cx="2943720" cy="6890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7FA8E753" wp14:editId="0DBF464E">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8"/>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color w:val="000000"/>
                                <w:sz w:val="16"/>
                                <w:szCs w:val="16"/>
                              </w:rPr>
                              <w:t>: Cause du changement climatique.</w:t>
                            </w:r>
                          </w:p>
                        </w:txbxContent>
                      </wps:txbx>
                      <wps:bodyPr lIns="0" tIns="0" rIns="0" bIns="0">
                        <a:noAutofit/>
                      </wps:bodyPr>
                    </wps:wsp>
                  </a:graphicData>
                </a:graphic>
              </wp:inline>
            </w:drawing>
          </mc:Choice>
          <mc:Fallback>
            <w:pict>
              <v:rect id="shape_0" stroked="f" style="position:absolute;margin-left:0pt;margin-top:-54.3pt;width:231.75pt;height:54.2pt;mso-position-vertical:top" wp14:anchorId="04549A59">
                <w10:wrap type="square"/>
                <v:fill o:detectmouseclick="t" on="false"/>
                <v:stroke color="#3465a4" joinstyle="round" endcap="flat"/>
                <v:textbox>
                  <w:txbxContent>
                    <w:p>
                      <w:pPr>
                        <w:pStyle w:val="Figure"/>
                        <w:spacing w:before="120" w:after="120"/>
                        <w:rPr/>
                      </w:pPr>
                      <w:r>
                        <w:rPr/>
                        <w:drawing>
                          <wp:inline distT="0" distB="0" distL="0" distR="0">
                            <wp:extent cx="2942590" cy="445135"/>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9"/>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color w:val="000000"/>
                          <w:sz w:val="16"/>
                          <w:szCs w:val="16"/>
                        </w:rPr>
                        <w:t>: Cause du changement climatique.</w:t>
                      </w:r>
                    </w:p>
                  </w:txbxContent>
                </v:textbox>
              </v:rect>
            </w:pict>
          </mc:Fallback>
        </mc:AlternateContent>
      </w:r>
    </w:p>
    <w:p w:rsidR="004564FD" w:rsidRDefault="0061418B">
      <w:pPr>
        <w:spacing w:before="240" w:after="240" w:line="240" w:lineRule="auto"/>
        <w:ind w:right="7"/>
        <w:jc w:val="both"/>
      </w:pPr>
      <w:r>
        <w:rPr>
          <w:noProof/>
          <w:lang w:val="en-US" w:eastAsia="en-US" w:bidi="ar-SA"/>
        </w:rPr>
        <mc:AlternateContent>
          <mc:Choice Requires="wps">
            <w:drawing>
              <wp:inline distT="0" distB="0" distL="0" distR="0" wp14:anchorId="25EE40EF" wp14:editId="403DC86C">
                <wp:extent cx="2941320" cy="617220"/>
                <wp:effectExtent l="0" t="0" r="0" b="0"/>
                <wp:docPr id="5" name="Rectangle 5"/>
                <wp:cNvGraphicFramePr/>
                <a:graphic xmlns:a="http://schemas.openxmlformats.org/drawingml/2006/main">
                  <a:graphicData uri="http://schemas.microsoft.com/office/word/2010/wordprocessingShape">
                    <wps:wsp>
                      <wps:cNvSpPr/>
                      <wps:spPr>
                        <a:xfrm>
                          <a:off x="0" y="0"/>
                          <a:ext cx="2940840" cy="61668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0B861367" wp14:editId="31A31A4E">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color w:val="000000"/>
                                <w:sz w:val="16"/>
                                <w:szCs w:val="16"/>
                              </w:rPr>
                              <w:t>: Émissions compatible avec +2°C (tCO</w:t>
                            </w:r>
                            <w:r w:rsidRPr="00736446">
                              <w:rPr>
                                <w:color w:val="000000"/>
                                <w:sz w:val="16"/>
                                <w:szCs w:val="16"/>
                                <w:vertAlign w:val="subscript"/>
                              </w:rPr>
                              <w:t>2</w:t>
                            </w:r>
                            <w:r>
                              <w:rPr>
                                <w:color w:val="000000"/>
                                <w:sz w:val="16"/>
                                <w:szCs w:val="16"/>
                              </w:rPr>
                              <w:t>eq/an p.c.).</w:t>
                            </w:r>
                          </w:p>
                        </w:txbxContent>
                      </wps:txbx>
                      <wps:bodyPr lIns="0" tIns="0" rIns="0" bIns="0">
                        <a:noAutofit/>
                      </wps:bodyPr>
                    </wps:wsp>
                  </a:graphicData>
                </a:graphic>
              </wp:inline>
            </w:drawing>
          </mc:Choice>
          <mc:Fallback>
            <w:pict>
              <v:rect id="Rectangle 5" o:spid="_x0000_s1027" style="width:231.6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" filled="f" stroked="f">
                <v:textbox inset="0,0,0,0">
                  <w:txbxContent>
                    <w:p w:rsidR="004564FD" w:rsidRDefault="0061418B">
                      <w:pPr>
                        <w:pStyle w:val="Figure"/>
                      </w:pPr>
                      <w:r>
                        <w:rPr>
                          <w:noProof/>
                          <w:lang w:val="en-US" w:eastAsia="en-US" w:bidi="ar-SA"/>
                        </w:rPr>
                        <w:drawing>
                          <wp:inline distT="0" distB="0" distL="0" distR="0" wp14:anchorId="0B861367" wp14:editId="31A31A4E">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color w:val="000000"/>
                          <w:sz w:val="16"/>
                          <w:szCs w:val="16"/>
                        </w:rPr>
                        <w:t>: Émissions compatible avec +2°C (tCO</w:t>
                      </w:r>
                      <w:r w:rsidRPr="00736446">
                        <w:rPr>
                          <w:color w:val="000000"/>
                          <w:sz w:val="16"/>
                          <w:szCs w:val="16"/>
                          <w:vertAlign w:val="subscript"/>
                        </w:rPr>
                        <w:t>2</w:t>
                      </w:r>
                      <w:r>
                        <w:rPr>
                          <w:color w:val="000000"/>
                          <w:sz w:val="16"/>
                          <w:szCs w:val="16"/>
                        </w:rPr>
                        <w:t>eq/an p.c.).</w:t>
                      </w:r>
                    </w:p>
                  </w:txbxContent>
                </v:textbox>
                <w10:anchorlock/>
              </v:rect>
            </w:pict>
          </mc:Fallback>
        </mc:AlternateContent>
      </w:r>
      <w:r>
        <w:rPr>
          <w:noProof/>
          <w:lang w:val="en-US" w:eastAsia="en-US" w:bidi="ar-SA"/>
        </w:rPr>
        <mc:AlternateContent>
          <mc:Choice Requires="wps">
            <w:drawing>
              <wp:inline distT="0" distB="0" distL="0" distR="0" wp14:anchorId="1D3EA889" wp14:editId="07D44652">
                <wp:extent cx="2941320" cy="695960"/>
                <wp:effectExtent l="0" t="0" r="0" b="0"/>
                <wp:docPr id="9" name="Rectangle 9"/>
                <wp:cNvGraphicFramePr/>
                <a:graphic xmlns:a="http://schemas.openxmlformats.org/drawingml/2006/main">
                  <a:graphicData uri="http://schemas.microsoft.com/office/word/2010/wordprocessingShape">
                    <wps:wsp>
                      <wps:cNvSpPr/>
                      <wps:spPr>
                        <a:xfrm>
                          <a:off x="0" y="0"/>
                          <a:ext cx="2940840" cy="6951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641EF17A" wp14:editId="1222C378">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1"/>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color w:val="000000"/>
                                <w:sz w:val="16"/>
                                <w:szCs w:val="16"/>
                              </w:rPr>
                              <w:t>: Effets du changement climatique.</w:t>
                            </w:r>
                          </w:p>
                        </w:txbxContent>
                      </wps:txbx>
                      <wps:bodyPr lIns="0" tIns="0" rIns="0" bIns="0">
                        <a:noAutofit/>
                      </wps:bodyPr>
                    </wps:wsp>
                  </a:graphicData>
                </a:graphic>
              </wp:inline>
            </w:drawing>
          </mc:Choice>
          <mc:Fallback>
            <w:pict>
              <v:rect id="shape_0" stroked="f" style="position:absolute;margin-left:0pt;margin-top:-54.8pt;width:231.5pt;height:54.7pt;mso-position-vertical:top" wp14:anchorId="2F971423">
                <w10:wrap type="square"/>
                <v:fill o:detectmouseclick="t" on="false"/>
                <v:stroke color="#3465a4" joinstyle="round" endcap="flat"/>
                <v:textbox>
                  <w:txbxContent>
                    <w:p>
                      <w:pPr>
                        <w:pStyle w:val="Figure"/>
                        <w:spacing w:before="120" w:after="120"/>
                        <w:rPr/>
                      </w:pPr>
                      <w:r>
                        <w:rPr/>
                        <w:drawing>
                          <wp:inline distT="0" distB="0" distL="0" distR="0">
                            <wp:extent cx="2939415" cy="41084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3"/>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color w:val="000000"/>
                          <w:sz w:val="16"/>
                          <w:szCs w:val="16"/>
                        </w:rPr>
                        <w:t>: Effets du changement climatique.</w:t>
                      </w:r>
                    </w:p>
                  </w:txbxContent>
                </v:textbox>
              </v:rect>
            </w:pict>
          </mc:Fallback>
        </mc:AlternateContent>
      </w:r>
    </w:p>
    <w:p w:rsidR="004564FD" w:rsidRDefault="0061418B">
      <w:pPr>
        <w:spacing w:before="240" w:after="240" w:line="240" w:lineRule="auto"/>
        <w:jc w:val="both"/>
      </w:pPr>
      <w:r>
        <w:rPr>
          <w:rFonts w:ascii="Tahoma" w:eastAsia="Tahoma" w:hAnsi="Tahoma" w:cs="Tahoma"/>
        </w:rPr>
        <w:t>Même sans bien connaître le fonctionnement du changement climatique, les Français sont inquiets quant à ses conséquences si rien n’est fait pour l’empêcher : 19% voient ses effets comme «</w:t>
      </w:r>
      <w:bookmarkStart w:id="1" w:name="__DdeLink__298_3605133747"/>
      <w:bookmarkEnd w:id="1"/>
      <w:r>
        <w:rPr>
          <w:rFonts w:ascii="Tahoma" w:eastAsia="Tahoma" w:hAnsi="Tahoma" w:cs="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 changement climatique : 63% affirment ainsi que c’est « chacun d’entre nous » (Figure 4).</w:t>
      </w:r>
    </w:p>
    <w:p w:rsidR="004564FD" w:rsidRDefault="004564FD">
      <w:pPr>
        <w:spacing w:before="240" w:after="240" w:line="240" w:lineRule="auto"/>
        <w:jc w:val="both"/>
      </w:pPr>
    </w:p>
    <w:p w:rsidR="004564FD" w:rsidRDefault="004564FD">
      <w:pPr>
        <w:sectPr w:rsidR="004564FD">
          <w:headerReference w:type="default" r:id="rId14"/>
          <w:pgSz w:w="11906" w:h="16838"/>
          <w:pgMar w:top="1440" w:right="1132" w:bottom="1440" w:left="1133" w:header="720" w:footer="0" w:gutter="0"/>
          <w:cols w:num="2" w:space="298"/>
          <w:formProt w:val="0"/>
          <w:docGrid w:linePitch="600" w:charSpace="36864"/>
        </w:sectPr>
      </w:pPr>
    </w:p>
    <w:p w:rsidR="004564FD" w:rsidRDefault="0061418B">
      <w:pPr>
        <w:spacing w:before="240" w:after="240" w:line="240" w:lineRule="auto"/>
        <w:jc w:val="both"/>
      </w:pPr>
      <w:r>
        <w:rPr>
          <w:noProof/>
          <w:lang w:val="en-US" w:eastAsia="en-US" w:bidi="ar-SA"/>
        </w:rPr>
        <w:lastRenderedPageBreak/>
        <mc:AlternateContent>
          <mc:Choice Requires="wps">
            <w:drawing>
              <wp:inline distT="0" distB="0" distL="0" distR="0" wp14:anchorId="3D0E53C1" wp14:editId="69AFEEF9">
                <wp:extent cx="2569210" cy="1835785"/>
                <wp:effectExtent l="0" t="0" r="0" b="0"/>
                <wp:docPr id="13" name="Rectangle 13"/>
                <wp:cNvGraphicFramePr/>
                <a:graphic xmlns:a="http://schemas.openxmlformats.org/drawingml/2006/main">
                  <a:graphicData uri="http://schemas.microsoft.com/office/word/2010/wordprocessingShape">
                    <wps:wsp>
                      <wps:cNvSpPr/>
                      <wps:spPr>
                        <a:xfrm>
                          <a:off x="0" y="0"/>
                          <a:ext cx="2568600" cy="183528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4A73317E" wp14:editId="403E8FCE">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5"/>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color w:val="000000"/>
                                <w:sz w:val="16"/>
                                <w:szCs w:val="16"/>
                              </w:rPr>
                              <w:t>: Responsables du changement climatique.</w:t>
                            </w:r>
                          </w:p>
                        </w:txbxContent>
                      </wps:txbx>
                      <wps:bodyPr lIns="0" tIns="0" rIns="0" bIns="0">
                        <a:noAutofit/>
                      </wps:bodyPr>
                    </wps:wsp>
                  </a:graphicData>
                </a:graphic>
              </wp:inline>
            </w:drawing>
          </mc:Choice>
          <mc:Fallback>
            <w:pict>
              <v:rect id="shape_0" stroked="f" style="position:absolute;margin-left:0pt;margin-top:-144.55pt;width:202.2pt;height:144.45pt;mso-position-vertical:top" wp14:anchorId="731D8B76">
                <w10:wrap type="square"/>
                <v:fill o:detectmouseclick="t" on="false"/>
                <v:stroke color="#3465a4" joinstyle="round" endcap="flat"/>
                <v:textbox>
                  <w:txbxContent>
                    <w:p>
                      <w:pPr>
                        <w:pStyle w:val="Figure"/>
                        <w:spacing w:before="120" w:after="120"/>
                        <w:rPr/>
                      </w:pPr>
                      <w:r>
                        <w:rPr/>
                        <w:drawing>
                          <wp:inline distT="0" distB="0" distL="0" distR="0">
                            <wp:extent cx="2567305" cy="1591310"/>
                            <wp:effectExtent l="0" t="0" r="0" b="0"/>
                            <wp:docPr id="1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descr=""/>
                                    <pic:cNvPicPr>
                                      <a:picLocks noChangeAspect="1" noChangeArrowheads="1"/>
                                    </pic:cNvPicPr>
                                  </pic:nvPicPr>
                                  <pic:blipFill>
                                    <a:blip r:embed="rId16"/>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4</w:t>
                      </w:r>
                      <w:r>
                        <w:rPr>
                          <w:sz w:val="16"/>
                          <w:szCs w:val="16"/>
                        </w:rPr>
                        <w:fldChar w:fldCharType="end"/>
                      </w:r>
                      <w:r>
                        <w:rPr>
                          <w:color w:val="000000"/>
                          <w:sz w:val="16"/>
                          <w:szCs w:val="16"/>
                        </w:rPr>
                        <w:t>: Responsables du changement climatique.</w:t>
                      </w:r>
                    </w:p>
                  </w:txbxContent>
                </v:textbox>
              </v:rect>
            </w:pict>
          </mc:Fallback>
        </mc:AlternateContent>
      </w:r>
    </w:p>
    <w:p w:rsidR="004564FD" w:rsidRDefault="004564FD">
      <w:pPr>
        <w:spacing w:before="240" w:after="240" w:line="240" w:lineRule="auto"/>
        <w:jc w:val="both"/>
      </w:pP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rsidR="004564FD" w:rsidRDefault="0061418B">
      <w:pPr>
        <w:spacing w:before="240" w:after="240" w:line="240" w:lineRule="auto"/>
        <w:jc w:val="both"/>
      </w:pPr>
      <w:r>
        <w:rPr>
          <w:rFonts w:ascii="Tahoma" w:eastAsia="Tahoma" w:hAnsi="Tahoma" w:cs="Tahoma"/>
        </w:rPr>
        <w:t>Les Français sont largement conscients et préoccupés par le changement climatique. Pourtant,</w:t>
      </w:r>
      <w:r w:rsidR="00611D91">
        <w:rPr>
          <w:rFonts w:ascii="Tahoma" w:eastAsia="Tahoma" w:hAnsi="Tahoma" w:cs="Tahoma"/>
        </w:rPr>
        <w:t xml:space="preserve"> ils soutiennent le mouvement des Gilets jaunes, qui a conduit à</w:t>
      </w:r>
      <w:r>
        <w:rPr>
          <w:rFonts w:ascii="Tahoma" w:eastAsia="Tahoma" w:hAnsi="Tahoma" w:cs="Tahoma"/>
        </w:rPr>
        <w:t xml:space="preserve"> l’annulation de la hausse de la taxe carbone. Pour comprendre l’opposition des Français à la taxe carbone, nous avons soumis aux répondants une proposition de politique plus équitable : une taxe carbone dont les recettes seraient reversées de manière égale à tous les adultes. 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rsidR="004564FD" w:rsidRDefault="0061418B">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Climat-Énergie (CCE) de 50€ par tonne de CO</w:t>
      </w:r>
      <w:r>
        <w:rPr>
          <w:rFonts w:ascii="Tahoma" w:eastAsia="Tahoma" w:hAnsi="Tahoma" w:cs="Tahoma"/>
          <w:vertAlign w:val="subscript"/>
        </w:rPr>
        <w:t>2</w:t>
      </w:r>
      <w:r>
        <w:rPr>
          <w:rFonts w:ascii="Tahoma" w:eastAsia="Tahoma" w:hAnsi="Tahoma" w:cs="Tahoma"/>
        </w:rPr>
        <w:t xml:space="preserve">. Nous détaillons aux répondants les hausses de prix impliquées par cette taxe : +13% sur le gaz, +15% sur le fioul domestique, +0,11€/L sur l’essence et +0,13€/L sur le diesel. Grâce aux calculs effectués par micro-simulation à partir des données de consommation tirées des enquêtes </w:t>
      </w:r>
      <w:r>
        <w:rPr>
          <w:rFonts w:ascii="Tahoma" w:eastAsia="Tahoma" w:hAnsi="Tahoma" w:cs="Tahoma"/>
        </w:rPr>
        <w:lastRenderedPageBreak/>
        <w:t xml:space="preserve">de </w:t>
      </w:r>
      <w:proofErr w:type="gramStart"/>
      <w:r>
        <w:rPr>
          <w:rFonts w:ascii="Tahoma" w:eastAsia="Tahoma" w:hAnsi="Tahoma" w:cs="Tahoma"/>
        </w:rPr>
        <w:t>l’Insee</w:t>
      </w:r>
      <w:r>
        <w:rPr>
          <w:rFonts w:ascii="Calibri" w:eastAsia="Calibri" w:hAnsi="Calibri" w:cs="Calibri"/>
          <w:color w:val="00000A"/>
        </w:rPr>
        <w:t>[</w:t>
      </w:r>
      <w:proofErr w:type="gramEnd"/>
      <w:r>
        <w:rPr>
          <w:rFonts w:ascii="Calibri" w:eastAsia="Calibri" w:hAnsi="Calibri" w:cs="Calibri"/>
          <w:color w:val="00000A"/>
        </w:rPr>
        <w:t>3]</w:t>
      </w:r>
      <w:r>
        <w:rPr>
          <w:rFonts w:ascii="Tahoma" w:eastAsia="Tahoma" w:hAnsi="Tahoma" w:cs="Tahoma"/>
        </w:rPr>
        <w:t xml:space="preserve">, nous calculons ensuite le revenu généré par cette taxe. Nous spécifions ainsi aux répondants que chaque ménage Français recevrait un transfert de 110€ par adulte par </w:t>
      </w:r>
      <w:proofErr w:type="gramStart"/>
      <w:r>
        <w:rPr>
          <w:rFonts w:ascii="Tahoma" w:eastAsia="Tahoma" w:hAnsi="Tahoma" w:cs="Tahoma"/>
        </w:rPr>
        <w:t>an</w:t>
      </w:r>
      <w:r>
        <w:rPr>
          <w:rFonts w:ascii="Calibri" w:eastAsia="Calibri" w:hAnsi="Calibri" w:cs="Calibri"/>
          <w:color w:val="00000A"/>
        </w:rPr>
        <w:t>[</w:t>
      </w:r>
      <w:proofErr w:type="gramEnd"/>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Désapprobation et pessimisme vis-à-vis de la taxe carbone…</w:t>
      </w:r>
    </w:p>
    <w:p w:rsidR="004564FD" w:rsidRDefault="0061418B">
      <w:pPr>
        <w:spacing w:before="240" w:after="240" w:line="240" w:lineRule="auto"/>
        <w:jc w:val="both"/>
      </w:pPr>
      <w:r>
        <w:rPr>
          <w:rFonts w:ascii="Tahoma" w:eastAsia="Tahoma" w:hAnsi="Tahoma" w:cs="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rsidR="004564FD" w:rsidRDefault="0061418B">
      <w:pPr>
        <w:spacing w:before="240" w:after="240" w:line="240" w:lineRule="auto"/>
        <w:jc w:val="both"/>
      </w:pPr>
      <w:r>
        <w:rPr>
          <w:rFonts w:ascii="Tahoma" w:eastAsia="Tahoma" w:hAnsi="Tahoma" w:cs="Tahoma"/>
        </w:rPr>
        <w:t xml:space="preserve">Toutefois, parallèlement au fort rejet observé, notre étude révèle que les sondés ont des croyances inexactes vis-à-vis des effets de la politique proposée. En effet, grâce aux données </w:t>
      </w:r>
      <w:r>
        <w:rPr>
          <w:rFonts w:ascii="Tahoma" w:eastAsia="Tahoma" w:hAnsi="Tahoma" w:cs="Tahoma"/>
          <w:i/>
        </w:rPr>
        <w:t>objectives</w:t>
      </w:r>
      <w:r>
        <w:rPr>
          <w:rFonts w:ascii="Tahoma" w:eastAsia="Tahoma" w:hAnsi="Tahoma" w:cs="Tahoma"/>
        </w:rPr>
        <w:t xml:space="preserve"> des enquêtes Insee, nous estimons que 70% des ménages gagneraient en pouvoir d’achat suite à une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89% d’entre eux anticipent des pertes nettes </w:t>
      </w:r>
      <w:r>
        <w:rPr>
          <w:rFonts w:ascii="Tahoma" w:eastAsia="Tahoma" w:hAnsi="Tahoma" w:cs="Tahoma"/>
        </w:rPr>
        <w:lastRenderedPageBreak/>
        <w:t xml:space="preserve">plus élevées que notre estimation. En outre, ces « biais » de perceptions apparaissent plus marqués parmi les personnes les plus opposés à la taxe : si l’on définit comme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rsidR="004564FD" w:rsidRDefault="0061418B">
      <w:pPr>
        <w:spacing w:before="240" w:after="240" w:line="240" w:lineRule="auto"/>
        <w:jc w:val="both"/>
      </w:pPr>
      <w:r>
        <w:rPr>
          <w:rFonts w:ascii="Tahoma" w:eastAsia="Tahoma" w:hAnsi="Tahoma" w:cs="Tahoma"/>
        </w:rPr>
        <w:t>Au-delà des conséquences sur le pouvoir d’achat, nos résultats montrent également que seuls 17% perçoivent la mesure comme efficace pour réduire la pollution et lutter contre le changement climatique (66% inefficace, 18% NSP), et que seulement 19% d’entre eux pensent qu’elle avantagerait les plus modestes (60% la pensent régressive, 21% NSP). L’impopularité de la réforme pourrait ainsi s’expliquer par des croyances erronées quant à ses effets.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rsidR="004564FD" w:rsidRDefault="0061418B">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rsidR="004564FD" w:rsidRDefault="0061418B">
      <w:pPr>
        <w:spacing w:before="240" w:after="240" w:line="240" w:lineRule="auto"/>
        <w:jc w:val="both"/>
      </w:pPr>
      <w:r>
        <w:rPr>
          <w:rFonts w:ascii="Tahoma" w:eastAsia="Tahoma" w:hAnsi="Tahoma" w:cs="Tahoma"/>
        </w:rPr>
        <w:t xml:space="preserve">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w:t>
      </w:r>
      <w:proofErr w:type="gramStart"/>
      <w:r>
        <w:rPr>
          <w:rFonts w:ascii="Tahoma" w:eastAsia="Tahoma" w:hAnsi="Tahoma" w:cs="Tahoma"/>
        </w:rPr>
        <w:t>Insee</w:t>
      </w:r>
      <w:r>
        <w:rPr>
          <w:rFonts w:ascii="Calibri" w:eastAsia="Calibri" w:hAnsi="Calibri" w:cs="Calibri"/>
          <w:color w:val="00000A"/>
        </w:rPr>
        <w:t>[</w:t>
      </w:r>
      <w:proofErr w:type="gramEnd"/>
      <w:r>
        <w:rPr>
          <w:rFonts w:ascii="Calibri" w:eastAsia="Calibri" w:hAnsi="Calibri" w:cs="Calibri"/>
          <w:color w:val="00000A"/>
        </w:rPr>
        <w:t>5]</w:t>
      </w:r>
      <w:r>
        <w:rPr>
          <w:rFonts w:ascii="Tahoma" w:eastAsia="Tahoma" w:hAnsi="Tahoma" w:cs="Tahoma"/>
        </w:rPr>
        <w:t xml:space="preserve">. </w:t>
      </w:r>
    </w:p>
    <w:p w:rsidR="004564FD" w:rsidRDefault="0061418B">
      <w:pPr>
        <w:spacing w:before="240" w:after="240" w:line="240" w:lineRule="auto"/>
        <w:jc w:val="both"/>
      </w:pPr>
      <w:r>
        <w:rPr>
          <w:rFonts w:ascii="Tahoma" w:eastAsia="Tahoma" w:hAnsi="Tahoma" w:cs="Tahoma"/>
        </w:rPr>
        <w:t xml:space="preserve">Le premier constat est que l’information est prise en compte de façon très asymétrique. Les répondants pensant initialement être gagnants </w:t>
      </w:r>
      <w:r>
        <w:rPr>
          <w:rFonts w:ascii="Tahoma" w:eastAsia="Tahoma" w:hAnsi="Tahoma" w:cs="Tahoma"/>
        </w:rPr>
        <w:lastRenderedPageBreak/>
        <w:t>mais informés qu’ils ont 5 chances sur 6 de 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rsidR="004564FD" w:rsidRDefault="0061418B">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proofErr w:type="spellStart"/>
      <w:r>
        <w:rPr>
          <w:rFonts w:ascii="Tahoma" w:eastAsia="Tahoma" w:hAnsi="Tahoma" w:cs="Tahoma"/>
          <w:i/>
        </w:rPr>
        <w:t>motivated</w:t>
      </w:r>
      <w:proofErr w:type="spellEnd"/>
      <w:r>
        <w:rPr>
          <w:rFonts w:ascii="Tahoma" w:eastAsia="Tahoma" w:hAnsi="Tahoma" w:cs="Tahoma"/>
          <w:i/>
        </w:rPr>
        <w:t xml:space="preserve"> </w:t>
      </w:r>
      <w:proofErr w:type="spellStart"/>
      <w:r>
        <w:rPr>
          <w:rFonts w:ascii="Tahoma" w:eastAsia="Tahoma" w:hAnsi="Tahoma" w:cs="Tahoma"/>
          <w:i/>
        </w:rPr>
        <w:t>reasoning</w:t>
      </w:r>
      <w:proofErr w:type="spellEnd"/>
      <w:r>
        <w:rPr>
          <w:rFonts w:ascii="Tahoma" w:eastAsia="Tahoma" w:hAnsi="Tahoma" w:cs="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ascii="Tahoma" w:eastAsia="Tahoma" w:hAnsi="Tahoma" w:cs="Tahoma"/>
          <w:i/>
        </w:rPr>
        <w:t xml:space="preserve">a priori </w:t>
      </w:r>
      <w:r>
        <w:rPr>
          <w:rFonts w:ascii="Tahoma" w:eastAsia="Tahoma" w:hAnsi="Tahoma" w:cs="Tahoma"/>
        </w:rPr>
        <w:t>négatif sur la taxe carbone (dont les raisons sont discutées plus bas) les répondants ont tendance à former des croyances biaisées vis-à-vis de cette politique, renforçant davantage leur rejet.</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lastRenderedPageBreak/>
        <w:t>moins</w:t>
      </w:r>
      <w:r>
        <w:rPr>
          <w:rFonts w:ascii="Tahoma" w:eastAsia="Tahoma" w:hAnsi="Tahoma" w:cs="Tahoma"/>
        </w:rPr>
        <w:t xml:space="preserve"> enclines à déclarer la politique progressive une fois cette information </w:t>
      </w:r>
      <w:proofErr w:type="gramStart"/>
      <w:r>
        <w:rPr>
          <w:rFonts w:ascii="Tahoma" w:eastAsia="Tahoma" w:hAnsi="Tahoma" w:cs="Tahoma"/>
        </w:rPr>
        <w:t>reçue</w:t>
      </w:r>
      <w:r>
        <w:rPr>
          <w:rFonts w:ascii="Calibri" w:eastAsia="Calibri" w:hAnsi="Calibri" w:cs="Calibri"/>
          <w:color w:val="00000A"/>
        </w:rPr>
        <w:t>[</w:t>
      </w:r>
      <w:proofErr w:type="gramEnd"/>
      <w:r>
        <w:rPr>
          <w:rFonts w:ascii="Calibri" w:eastAsia="Calibri" w:hAnsi="Calibri" w:cs="Calibri"/>
          <w:color w:val="00000A"/>
        </w:rPr>
        <w:t>6]</w:t>
      </w:r>
      <w:r>
        <w:rPr>
          <w:rFonts w:ascii="Tahoma" w:eastAsia="Tahoma" w:hAnsi="Tahoma" w:cs="Tahoma"/>
        </w:rPr>
        <w:t>.</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préférences vis-à-vis des vrais effets de la politique</w:t>
      </w:r>
    </w:p>
    <w:p w:rsidR="004564FD" w:rsidRDefault="0061418B">
      <w:pPr>
        <w:spacing w:before="240" w:after="240" w:line="240" w:lineRule="auto"/>
        <w:jc w:val="both"/>
      </w:pPr>
      <w:r>
        <w:rPr>
          <w:rFonts w:ascii="Tahoma" w:eastAsia="Tahoma" w:hAnsi="Tahoma" w:cs="Tahoma"/>
        </w:rPr>
        <w:t>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de ces déterminants sur l’approbation. Nous trouvons que s’estimer gagnant suite à la réforme augmente la probabilité de l’accepter de 40 points de pourcentages (p.p.). L’effet est similaire pour la croyance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rsidR="004564FD" w:rsidRDefault="004564FD">
      <w:pPr>
        <w:spacing w:before="240" w:after="240" w:line="240" w:lineRule="auto"/>
        <w:jc w:val="both"/>
        <w:rPr>
          <w:rFonts w:ascii="Tahoma" w:eastAsia="Tahoma" w:hAnsi="Tahoma" w:cs="Tahoma"/>
        </w:rPr>
      </w:pPr>
    </w:p>
    <w:p w:rsidR="004564FD" w:rsidRDefault="0061418B">
      <w:pPr>
        <w:spacing w:before="240" w:after="240" w:line="240" w:lineRule="auto"/>
        <w:jc w:val="both"/>
      </w:pPr>
      <w:r>
        <w:rPr>
          <w:rFonts w:ascii="Tahoma" w:eastAsia="Tahoma" w:hAnsi="Tahoma" w:cs="Tahoma"/>
          <w:b/>
          <w:color w:val="0070C0"/>
        </w:rPr>
        <w:t>Aux origines de la méfiance : des problèmes structurels</w:t>
      </w:r>
    </w:p>
    <w:p w:rsidR="004564FD" w:rsidRDefault="0061418B">
      <w:pPr>
        <w:spacing w:before="240" w:after="240" w:line="240" w:lineRule="auto"/>
        <w:jc w:val="both"/>
        <w:rPr>
          <w:rFonts w:ascii="Tahoma" w:eastAsia="Tahoma" w:hAnsi="Tahoma" w:cs="Tahoma"/>
        </w:rPr>
      </w:pPr>
      <w:r>
        <w:rPr>
          <w:rFonts w:ascii="Tahoma" w:eastAsia="Tahoma" w:hAnsi="Tahoma" w:cs="Tahoma"/>
        </w:rPr>
        <w:t>Pour comprendre le fondement de l’opposition à la taxe carbone, nous avons posé aux enquêtés un ensemble de questions à choix multiples permettant de cerner les problèmes structurels pouvant conduire au rejet de cette politique.</w:t>
      </w:r>
    </w:p>
    <w:p w:rsidR="004564FD" w:rsidRDefault="0061418B">
      <w:pPr>
        <w:spacing w:before="240" w:after="240" w:line="240" w:lineRule="auto"/>
        <w:jc w:val="both"/>
      </w:pPr>
      <w:r>
        <w:rPr>
          <w:rFonts w:ascii="Tahoma" w:eastAsia="Tahoma" w:hAnsi="Tahoma" w:cs="Tahoma"/>
        </w:rPr>
        <w:t xml:space="preserve">Parmi les problèmes les plus souvent évoqués, la taxe carbone est accusée de pénaliser les ménages modestes, ruraux, mais plus encore ceux de la classe moyenne. En réalité, les ménages modestes et la classe moyenne seraient en majorité gagnants grâce au </w:t>
      </w:r>
      <w:r>
        <w:rPr>
          <w:rFonts w:ascii="Tahoma" w:eastAsia="Tahoma" w:hAnsi="Tahoma" w:cs="Tahoma"/>
        </w:rPr>
        <w:lastRenderedPageBreak/>
        <w:t xml:space="preserve">mécanisme proposé. Toutefois, des études (Bureau et al, 2019; Douenne,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membres plus consommateurs d’énergies fossiles (et notamment les ménages ruraux) peuvent s’attendre à subir des pertes 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rsidR="004564FD" w:rsidRDefault="0061418B">
      <w:pPr>
        <w:spacing w:before="240" w:after="240" w:line="240" w:lineRule="auto"/>
        <w:jc w:val="both"/>
        <w:rPr>
          <w:rFonts w:ascii="Tahoma" w:eastAsia="Tahoma" w:hAnsi="Tahoma" w:cs="Tahoma"/>
        </w:rPr>
      </w:pPr>
      <w:r>
        <w:rPr>
          <w:noProof/>
          <w:lang w:val="en-US" w:eastAsia="en-US" w:bidi="ar-SA"/>
        </w:rPr>
        <mc:AlternateContent>
          <mc:Choice Requires="wps">
            <w:drawing>
              <wp:inline distT="0" distB="0" distL="0" distR="0" wp14:anchorId="7A7646CE" wp14:editId="26873836">
                <wp:extent cx="2759710" cy="1727200"/>
                <wp:effectExtent l="0" t="0" r="0" b="0"/>
                <wp:docPr id="17" name="Rectangle 17"/>
                <wp:cNvGraphicFramePr/>
                <a:graphic xmlns:a="http://schemas.openxmlformats.org/drawingml/2006/main">
                  <a:graphicData uri="http://schemas.microsoft.com/office/word/2010/wordprocessingShape">
                    <wps:wsp>
                      <wps:cNvSpPr/>
                      <wps:spPr>
                        <a:xfrm>
                          <a:off x="0" y="0"/>
                          <a:ext cx="2759040" cy="17265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1D8C8E56" wp14:editId="343D385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7"/>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color w:val="000000"/>
                                <w:sz w:val="16"/>
                                <w:szCs w:val="16"/>
                              </w:rPr>
                              <w:t>: Pour quelles raisons cette mesure est bénéfique ?</w:t>
                            </w:r>
                          </w:p>
                        </w:txbxContent>
                      </wps:txbx>
                      <wps:bodyPr lIns="0" tIns="0" rIns="0" bIns="0">
                        <a:noAutofit/>
                      </wps:bodyPr>
                    </wps:wsp>
                  </a:graphicData>
                </a:graphic>
              </wp:inline>
            </w:drawing>
          </mc:Choice>
          <mc:Fallback>
            <w:pict>
              <v:rect id="shape_0" stroked="f" style="position:absolute;margin-left:0pt;margin-top:-136pt;width:217.2pt;height:135.9pt;mso-position-vertical:top" wp14:anchorId="6AD4F0B7">
                <w10:wrap type="square"/>
                <v:fill o:detectmouseclick="t" on="false"/>
                <v:stroke color="#3465a4" joinstyle="round" endcap="flat"/>
                <v:textbox>
                  <w:txbxContent>
                    <w:p>
                      <w:pPr>
                        <w:pStyle w:val="Figure"/>
                        <w:spacing w:before="120" w:after="120"/>
                        <w:rPr/>
                      </w:pPr>
                      <w:r>
                        <w:rPr/>
                        <w:drawing>
                          <wp:inline distT="0" distB="0" distL="0" distR="0">
                            <wp:extent cx="2757805" cy="1482725"/>
                            <wp:effectExtent l="0" t="0" r="0" b="0"/>
                            <wp:docPr id="2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descr=""/>
                                    <pic:cNvPicPr>
                                      <a:picLocks noChangeAspect="1" noChangeArrowheads="1"/>
                                    </pic:cNvPicPr>
                                  </pic:nvPicPr>
                                  <pic:blipFill>
                                    <a:blip r:embed="rId18"/>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color w:val="000000"/>
                          <w:sz w:val="16"/>
                          <w:szCs w:val="16"/>
                        </w:rPr>
                        <w:t>: Pour quelles raisons cette mesure est bénéfique ?</w:t>
                      </w:r>
                    </w:p>
                  </w:txbxContent>
                </v:textbox>
              </v:rect>
            </w:pict>
          </mc:Fallback>
        </mc:AlternateContent>
      </w:r>
      <w:r>
        <w:rPr>
          <w:noProof/>
          <w:lang w:val="en-US" w:eastAsia="en-US" w:bidi="ar-SA"/>
        </w:rPr>
        <mc:AlternateContent>
          <mc:Choice Requires="wps">
            <w:drawing>
              <wp:inline distT="0" distB="0" distL="0" distR="0" wp14:anchorId="2C842E55" wp14:editId="65F24DFD">
                <wp:extent cx="2758440" cy="1725295"/>
                <wp:effectExtent l="0" t="0" r="0" b="0"/>
                <wp:docPr id="21" name="Rectangle 21"/>
                <wp:cNvGraphicFramePr/>
                <a:graphic xmlns:a="http://schemas.openxmlformats.org/drawingml/2006/main">
                  <a:graphicData uri="http://schemas.microsoft.com/office/word/2010/wordprocessingShape">
                    <wps:wsp>
                      <wps:cNvSpPr/>
                      <wps:spPr>
                        <a:xfrm>
                          <a:off x="0" y="0"/>
                          <a:ext cx="2757960" cy="17247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212B6AA0" wp14:editId="19A63F1D">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9"/>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color w:val="000000"/>
                                <w:sz w:val="16"/>
                                <w:szCs w:val="16"/>
                              </w:rPr>
                              <w:t>: Pour quelles raisons cette mesure est indésirable ?</w:t>
                            </w:r>
                          </w:p>
                        </w:txbxContent>
                      </wps:txbx>
                      <wps:bodyPr lIns="0" tIns="0" rIns="0" bIns="0">
                        <a:noAutofit/>
                      </wps:bodyPr>
                    </wps:wsp>
                  </a:graphicData>
                </a:graphic>
              </wp:inline>
            </w:drawing>
          </mc:Choice>
          <mc:Fallback>
            <w:pict>
              <v:rect id="shape_0" stroked="f" style="position:absolute;margin-left:0pt;margin-top:-135.85pt;width:217.1pt;height:135.75pt;mso-position-vertical:top" wp14:anchorId="1AC3CADA">
                <w10:wrap type="square"/>
                <v:fill o:detectmouseclick="t" on="false"/>
                <v:stroke color="#3465a4" joinstyle="round" endcap="flat"/>
                <v:textbox>
                  <w:txbxContent>
                    <w:p>
                      <w:pPr>
                        <w:pStyle w:val="Figure"/>
                        <w:spacing w:before="120" w:after="120"/>
                        <w:rPr/>
                      </w:pPr>
                      <w:r>
                        <w:rPr/>
                        <w:drawing>
                          <wp:inline distT="0" distB="0" distL="0" distR="0">
                            <wp:extent cx="2756535" cy="1480820"/>
                            <wp:effectExtent l="0" t="0" r="0" b="0"/>
                            <wp:docPr id="2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descr=""/>
                                    <pic:cNvPicPr>
                                      <a:picLocks noChangeAspect="1" noChangeArrowheads="1"/>
                                    </pic:cNvPicPr>
                                  </pic:nvPicPr>
                                  <pic:blipFill>
                                    <a:blip r:embed="rId20"/>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color w:val="000000"/>
                          <w:sz w:val="16"/>
                          <w:szCs w:val="16"/>
                        </w:rPr>
                        <w:t>: Pour quelles raisons cette mesure est indésirable ?</w:t>
                      </w:r>
                    </w:p>
                  </w:txbxContent>
                </v:textbox>
              </v:rect>
            </w:pict>
          </mc:Fallback>
        </mc:AlternateContent>
      </w:r>
      <w:r>
        <w:rPr>
          <w:rFonts w:ascii="Tahoma" w:eastAsia="Tahoma" w:hAnsi="Tahoma" w:cs="Tahoma"/>
        </w:rPr>
        <w:t xml:space="preserve"> </w:t>
      </w:r>
    </w:p>
    <w:p w:rsidR="004564FD" w:rsidRDefault="0061418B">
      <w:pPr>
        <w:spacing w:before="240" w:after="240" w:line="240" w:lineRule="auto"/>
        <w:jc w:val="both"/>
      </w:pPr>
      <w:r>
        <w:rPr>
          <w:rFonts w:ascii="Tahoma" w:eastAsia="Tahoma" w:hAnsi="Tahoma" w:cs="Tahoma"/>
        </w:rPr>
        <w:t xml:space="preserve">Même si les trois quarts des Français vivent à moins de 15 minutes de marche d’un arrêt de transports en commun, une majorité d’entre eux juge l’offre de transports en commun insuffisante, en particulier en zone rurale et dans les petites villes, à cause d’une fréquence trop faible ou d’une desserte inadéquate. Sur les 65% de répondants qui se rendent en voiture à leur travail, 58% affirment ne pas pouvoir s’y rendre en transports en commun, à pied ou à vélo, et seuls 15% pourraient utiliser un de ces modes de transport alternatif « sans grande difficulté ». Le caractère incontournable </w:t>
      </w:r>
      <w:r>
        <w:rPr>
          <w:rFonts w:ascii="Tahoma" w:eastAsia="Tahoma" w:hAnsi="Tahoma" w:cs="Tahoma"/>
        </w:rPr>
        <w:lastRenderedPageBreak/>
        <w:t xml:space="preserve">de la voiture individuelle semble être une limite majeure aux mesures purement incitatives, même si le fait que </w:t>
      </w:r>
      <w:hyperlink r:id="rId21">
        <w:r>
          <w:rPr>
            <w:rStyle w:val="ListLabel1"/>
          </w:rPr>
          <w:t>62% des trajets</w:t>
        </w:r>
      </w:hyperlink>
      <w:r>
        <w:rPr>
          <w:rFonts w:ascii="Tahoma" w:eastAsia="Tahoma" w:hAnsi="Tahoma" w:cs="Tahoma"/>
        </w:rPr>
        <w:t xml:space="preserve"> de 1 ou 2 km soient effectués en voiture laisse penser que les habitudes peuvent encore être bousculées. Dans cette situation, « investissements publics verts et taxe carbone apparaissent bien complémentaires, et dans le timing de la politique climatique il serait justifié de réaliser les premiers avant de mettre en place la seconde » (Bureau et al, 2019).</w:t>
      </w:r>
    </w:p>
    <w:p w:rsidR="004564FD" w:rsidRDefault="0061418B">
      <w:pPr>
        <w:spacing w:before="240" w:after="240" w:line="240" w:lineRule="auto"/>
        <w:jc w:val="both"/>
      </w:pPr>
      <w:r>
        <w:rPr>
          <w:noProof/>
          <w:lang w:val="en-US" w:eastAsia="en-US" w:bidi="ar-SA"/>
        </w:rPr>
        <mc:AlternateContent>
          <mc:Choice Requires="wps">
            <w:drawing>
              <wp:anchor distT="0" distB="0" distL="0" distR="0" simplePos="0" relativeHeight="2" behindDoc="0" locked="0" layoutInCell="1" allowOverlap="1" wp14:anchorId="6186A544" wp14:editId="057F18D8">
                <wp:simplePos x="0" y="0"/>
                <wp:positionH relativeFrom="column">
                  <wp:posOffset>0</wp:posOffset>
                </wp:positionH>
                <wp:positionV relativeFrom="paragraph">
                  <wp:posOffset>3558540</wp:posOffset>
                </wp:positionV>
                <wp:extent cx="2771775" cy="328930"/>
                <wp:effectExtent l="0" t="0" r="0" b="0"/>
                <wp:wrapNone/>
                <wp:docPr id="25" name="Frame7"/>
                <wp:cNvGraphicFramePr/>
                <a:graphic xmlns:a="http://schemas.openxmlformats.org/drawingml/2006/main">
                  <a:graphicData uri="http://schemas.microsoft.com/office/word/2010/wordprocessingShape">
                    <wps:wsp>
                      <wps:cNvSpPr/>
                      <wps:spPr>
                        <a:xfrm>
                          <a:off x="0" y="0"/>
                          <a:ext cx="2771280" cy="3283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vanish/>
                              </w:rPr>
                              <w:br/>
                            </w:r>
                          </w:p>
                        </w:txbxContent>
                      </wps:txbx>
                      <wps:bodyPr lIns="0" tIns="0" rIns="0" bIns="0">
                        <a:noAutofit/>
                      </wps:bodyPr>
                    </wps:wsp>
                  </a:graphicData>
                </a:graphic>
              </wp:anchor>
            </w:drawing>
          </mc:Choice>
          <mc:Fallback>
            <w:pict>
              <v:rect id="shape_0" ID="Frame7" stroked="f" style="position:absolute;margin-left:0pt;margin-top:280.2pt;width:218.15pt;height:25.8pt" wp14:anchorId="7B94021C">
                <w10:wrap type="square"/>
                <v:fill o:detectmouseclick="t" on="false"/>
                <v:stroke color="#3465a4" joinstyle="round" endcap="flat"/>
                <v:textbox>
                  <w:txbxContent>
                    <w:p>
                      <w:pPr>
                        <w:pStyle w:val="Figure"/>
                        <w:spacing w:before="120" w:after="120"/>
                        <w:rPr/>
                      </w:pPr>
                      <w:r>
                        <w:rPr>
                          <w:vanish/>
                          <w:color w:val="auto"/>
                        </w:rPr>
                        <w:br/>
                      </w:r>
                    </w:p>
                  </w:txbxContent>
                </v:textbox>
              </v:rect>
            </w:pict>
          </mc:Fallback>
        </mc:AlternateContent>
      </w:r>
      <w:r>
        <w:rPr>
          <w:noProof/>
          <w:lang w:val="en-US" w:eastAsia="en-US" w:bidi="ar-SA"/>
        </w:rPr>
        <mc:AlternateContent>
          <mc:Choice Requires="wps">
            <w:drawing>
              <wp:anchor distT="0" distB="0" distL="0" distR="0" simplePos="0" relativeHeight="3" behindDoc="0" locked="0" layoutInCell="1" allowOverlap="1" wp14:anchorId="77E8C299" wp14:editId="377E6743">
                <wp:simplePos x="0" y="0"/>
                <wp:positionH relativeFrom="column">
                  <wp:posOffset>-635</wp:posOffset>
                </wp:positionH>
                <wp:positionV relativeFrom="paragraph">
                  <wp:posOffset>152400</wp:posOffset>
                </wp:positionV>
                <wp:extent cx="2833370" cy="389255"/>
                <wp:effectExtent l="0" t="0" r="0" b="0"/>
                <wp:wrapNone/>
                <wp:docPr id="27" name="Frame8"/>
                <wp:cNvGraphicFramePr/>
                <a:graphic xmlns:a="http://schemas.openxmlformats.org/drawingml/2006/main">
                  <a:graphicData uri="http://schemas.microsoft.com/office/word/2010/wordprocessingShape">
                    <wps:wsp>
                      <wps:cNvSpPr/>
                      <wps:spPr>
                        <a:xfrm>
                          <a:off x="0" y="0"/>
                          <a:ext cx="2832840" cy="38880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4564FD">
                            <w:pPr>
                              <w:pStyle w:val="Figure"/>
                              <w:rPr>
                                <w:color w:val="000000"/>
                              </w:rPr>
                            </w:pPr>
                          </w:p>
                        </w:txbxContent>
                      </wps:txbx>
                      <wps:bodyPr lIns="0" tIns="0" rIns="0" bIns="0">
                        <a:noAutofit/>
                      </wps:bodyPr>
                    </wps:wsp>
                  </a:graphicData>
                </a:graphic>
              </wp:anchor>
            </w:drawing>
          </mc:Choice>
          <mc:Fallback>
            <w:pict>
              <v:rect id="shape_0" ID="Frame8" stroked="f" style="position:absolute;margin-left:-0.05pt;margin-top:12pt;width:223pt;height:30.55pt" wp14:anchorId="49F43F59">
                <w10:wrap type="none"/>
                <v:fill o:detectmouseclick="t" on="false"/>
                <v:stroke color="#3465a4" joinstyle="round" endcap="flat"/>
                <v:textbox>
                  <w:txbxContent>
                    <w:p>
                      <w:pPr>
                        <w:pStyle w:val="Figure"/>
                        <w:spacing w:before="120" w:after="120"/>
                        <w:rPr>
                          <w:color w:val="000000"/>
                        </w:rPr>
                      </w:pPr>
                      <w:r>
                        <w:rPr>
                          <w:color w:val="000000"/>
                        </w:rPr>
                      </w:r>
                    </w:p>
                  </w:txbxContent>
                </v:textbox>
              </v:rect>
            </w:pict>
          </mc:Fallback>
        </mc:AlternateContent>
      </w:r>
      <w:r>
        <w:rPr>
          <w:noProof/>
          <w:lang w:val="en-US" w:eastAsia="en-US" w:bidi="ar-SA"/>
        </w:rPr>
        <mc:AlternateContent>
          <mc:Choice Requires="wps">
            <w:drawing>
              <wp:inline distT="0" distB="0" distL="0" distR="0" wp14:anchorId="074C3C9A" wp14:editId="12BD8975">
                <wp:extent cx="2832735" cy="1907540"/>
                <wp:effectExtent l="0" t="0" r="0" b="0"/>
                <wp:docPr id="29" name="Rectangle 29"/>
                <wp:cNvGraphicFramePr/>
                <a:graphic xmlns:a="http://schemas.openxmlformats.org/drawingml/2006/main">
                  <a:graphicData uri="http://schemas.microsoft.com/office/word/2010/wordprocessingShape">
                    <wps:wsp>
                      <wps:cNvSpPr/>
                      <wps:spPr>
                        <a:xfrm>
                          <a:off x="0" y="0"/>
                          <a:ext cx="2832120" cy="19069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4FD40C65" wp14:editId="14EC5E14">
                                  <wp:extent cx="2831465" cy="1663700"/>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pic:cNvPicPr>
                                            <a:picLocks noChangeAspect="1" noChangeArrowheads="1"/>
                                          </pic:cNvPicPr>
                                        </pic:nvPicPr>
                                        <pic:blipFill>
                                          <a:blip r:embed="rId22"/>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wps:txbx>
                      <wps:bodyPr lIns="0" tIns="0" rIns="0" bIns="0">
                        <a:noAutofit/>
                      </wps:bodyPr>
                    </wps:wsp>
                  </a:graphicData>
                </a:graphic>
              </wp:inline>
            </w:drawing>
          </mc:Choice>
          <mc:Fallback>
            <w:pict>
              <v:rect id="shape_0" stroked="f" style="position:absolute;margin-left:0pt;margin-top:-150.2pt;width:222.95pt;height:150.1pt;mso-position-vertical:top" wp14:anchorId="394A6451">
                <w10:wrap type="square"/>
                <v:fill o:detectmouseclick="t" on="false"/>
                <v:stroke color="#3465a4" joinstyle="round" endcap="flat"/>
                <v:textbox>
                  <w:txbxContent>
                    <w:p>
                      <w:pPr>
                        <w:pStyle w:val="Figure"/>
                        <w:spacing w:before="120" w:after="120"/>
                        <w:rPr/>
                      </w:pPr>
                      <w:r>
                        <w:rPr/>
                        <w:drawing>
                          <wp:inline distT="0" distB="0" distL="0" distR="0">
                            <wp:extent cx="2831465" cy="1663700"/>
                            <wp:effectExtent l="0" t="0" r="0" b="0"/>
                            <wp:docPr id="3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descr=""/>
                                    <pic:cNvPicPr>
                                      <a:picLocks noChangeAspect="1" noChangeArrowheads="1"/>
                                    </pic:cNvPicPr>
                                  </pic:nvPicPr>
                                  <pic:blipFill>
                                    <a:blip r:embed="rId23"/>
                                    <a:stretch>
                                      <a:fillRect/>
                                    </a:stretch>
                                  </pic:blipFill>
                                  <pic:spPr bwMode="auto">
                                    <a:xfrm>
                                      <a:off x="0" y="0"/>
                                      <a:ext cx="2831465" cy="1663700"/>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color w:val="auto"/>
                          <w:sz w:val="16"/>
                          <w:szCs w:val="16"/>
                        </w:rPr>
                        <w:t>: Quelles catégories gagneraient avec cette mesure ?</w:t>
                      </w:r>
                    </w:p>
                  </w:txbxContent>
                </v:textbox>
              </v:rect>
            </w:pict>
          </mc:Fallback>
        </mc:AlternateContent>
      </w:r>
      <w:r>
        <w:rPr>
          <w:noProof/>
          <w:lang w:val="en-US" w:eastAsia="en-US" w:bidi="ar-SA"/>
        </w:rPr>
        <mc:AlternateContent>
          <mc:Choice Requires="wps">
            <w:drawing>
              <wp:inline distT="0" distB="0" distL="0" distR="0" wp14:anchorId="0C4F191C" wp14:editId="51830536">
                <wp:extent cx="2771140" cy="1896745"/>
                <wp:effectExtent l="0" t="0" r="0" b="0"/>
                <wp:docPr id="33" name="Rectangle 33"/>
                <wp:cNvGraphicFramePr/>
                <a:graphic xmlns:a="http://schemas.openxmlformats.org/drawingml/2006/main">
                  <a:graphicData uri="http://schemas.microsoft.com/office/word/2010/wordprocessingShape">
                    <wps:wsp>
                      <wps:cNvSpPr/>
                      <wps:spPr>
                        <a:xfrm>
                          <a:off x="0" y="0"/>
                          <a:ext cx="2770560" cy="18961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301C6543" wp14:editId="4C658F09">
                                  <wp:extent cx="2769870" cy="1652905"/>
                                  <wp:effectExtent l="0" t="0" r="0" b="0"/>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noChangeArrowheads="1"/>
                                          </pic:cNvPicPr>
                                        </pic:nvPicPr>
                                        <pic:blipFill>
                                          <a:blip r:embed="rId24"/>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lIns="0" tIns="0" rIns="0" bIns="0">
                        <a:noAutofit/>
                      </wps:bodyPr>
                    </wps:wsp>
                  </a:graphicData>
                </a:graphic>
              </wp:inline>
            </w:drawing>
          </mc:Choice>
          <mc:Fallback>
            <w:pict>
              <v:rect id="shape_0" stroked="f" style="position:absolute;margin-left:0pt;margin-top:-149.35pt;width:218.1pt;height:149.25pt;mso-position-vertical:top" wp14:anchorId="28075CA4">
                <w10:wrap type="square"/>
                <v:fill o:detectmouseclick="t" on="false"/>
                <v:stroke color="#3465a4" joinstyle="round" endcap="flat"/>
                <v:textbox>
                  <w:txbxContent>
                    <w:p>
                      <w:pPr>
                        <w:pStyle w:val="Figure"/>
                        <w:spacing w:before="120" w:after="120"/>
                        <w:rPr/>
                      </w:pPr>
                      <w:r>
                        <w:rPr/>
                        <w:drawing>
                          <wp:inline distT="0" distB="0" distL="0" distR="0">
                            <wp:extent cx="2769870" cy="1652905"/>
                            <wp:effectExtent l="0" t="0" r="0" b="0"/>
                            <wp:docPr id="3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descr=""/>
                                    <pic:cNvPicPr>
                                      <a:picLocks noChangeAspect="1" noChangeArrowheads="1"/>
                                    </pic:cNvPicPr>
                                  </pic:nvPicPr>
                                  <pic:blipFill>
                                    <a:blip r:embed="rId25"/>
                                    <a:stretch>
                                      <a:fillRect/>
                                    </a:stretch>
                                  </pic:blipFill>
                                  <pic:spPr bwMode="auto">
                                    <a:xfrm>
                                      <a:off x="0" y="0"/>
                                      <a:ext cx="2769870" cy="1652905"/>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color w:val="auto"/>
                          <w:sz w:val="16"/>
                          <w:szCs w:val="16"/>
                        </w:rPr>
                        <w:t>: Quelles catégories perdraient avec cette mesure ?</w:t>
                      </w:r>
                    </w:p>
                  </w:txbxContent>
                </v:textbox>
              </v:rect>
            </w:pict>
          </mc:Fallback>
        </mc:AlternateContent>
      </w:r>
    </w:p>
    <w:p w:rsidR="004564FD" w:rsidRDefault="004564FD">
      <w:pPr>
        <w:spacing w:before="240" w:after="240" w:line="240" w:lineRule="auto"/>
        <w:jc w:val="both"/>
        <w:rPr>
          <w:rFonts w:ascii="Tahoma" w:eastAsia="Tahoma" w:hAnsi="Tahoma" w:cs="Tahoma"/>
        </w:rPr>
      </w:pP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rsidR="004564FD" w:rsidRDefault="0061418B">
      <w:pPr>
        <w:spacing w:before="240" w:after="240" w:line="240" w:lineRule="auto"/>
        <w:jc w:val="both"/>
      </w:pPr>
      <w:r>
        <w:rPr>
          <w:rFonts w:ascii="Tahoma" w:eastAsia="Tahoma" w:hAnsi="Tahoma" w:cs="Tahoma"/>
        </w:rPr>
        <w:t xml:space="preserve">Si on en croit leurs réponses, 65% des Français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la France étende très largement </w:t>
      </w:r>
      <w:r>
        <w:rPr>
          <w:rFonts w:ascii="Tahoma" w:eastAsia="Tahoma" w:hAnsi="Tahoma" w:cs="Tahoma"/>
        </w:rPr>
        <w:lastRenderedPageBreak/>
        <w:t>l’offre de transports non polluants ». Alors que la formulation précédente se prémunit contre toute résistance à un changement de mode de vie, nous explorons à quelles conditions les gens seraient prêts à adopter un tel changement. 82% des répondants seraient prêts à changer leur mode de vie sous au moins une des trois conditions proposées : des moyens financiers suffisants, des politiques allant dans ce sens, ou une participation de tout le monde (environ 45% dans chacun des cas). Enfin, une fraction substantielle de la population intègre les contraintes écologiques dans ses choix de vie. En effet, 15% se disent écologistes (l’identité politique la plus choisie en dehors du spectre gauche-droite), 23% affirment avoir déjà adopté un mode de vie durable et 20% disent que le changement climatique « a eu ou aura une influence dans leur décision d’avoir un enfant ».</w:t>
      </w:r>
    </w:p>
    <w:p w:rsidR="004564FD" w:rsidRDefault="0061418B">
      <w:pPr>
        <w:spacing w:before="240" w:after="240" w:line="240" w:lineRule="auto"/>
        <w:jc w:val="both"/>
      </w:pPr>
      <w:r>
        <w:rPr>
          <w:rFonts w:ascii="Tahoma" w:eastAsia="Tahoma" w:hAnsi="Tahoma" w:cs="Tahoma"/>
        </w:rPr>
        <w:t xml:space="preserve">Concernant les mesures soutenues, les Français préfèrent des normes et des régulations plutôt que des taxes (à l’exception d’une taxe sur le kérosène). Ainsi, le rattrapage de la fiscalité du diesel sur celle de l’essence est rejeté par 59% des répondants, avec un rejet très marqué des ruraux et des utilisateurs de véhicules diesels. Aussi, la Figure 9 montre que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r>
        <w:rPr>
          <w:rFonts w:ascii="Tahoma" w:eastAsia="Tahoma" w:hAnsi="Tahoma" w:cs="Tahoma"/>
          <w:color w:val="00000A"/>
        </w:rPr>
        <w:t xml:space="preserve">Ce constat est cohérent avec d’autres études réalisées dans plusieurs autres pays </w:t>
      </w:r>
      <w:proofErr w:type="gramStart"/>
      <w:r>
        <w:rPr>
          <w:rFonts w:ascii="Tahoma" w:eastAsia="Tahoma" w:hAnsi="Tahoma" w:cs="Tahoma"/>
          <w:color w:val="00000A"/>
        </w:rPr>
        <w:t>européens[</w:t>
      </w:r>
      <w:proofErr w:type="gramEnd"/>
      <w:r>
        <w:rPr>
          <w:rFonts w:ascii="Tahoma" w:eastAsia="Tahoma" w:hAnsi="Tahoma" w:cs="Tahoma"/>
          <w:color w:val="00000A"/>
        </w:rPr>
        <w:t xml:space="preserve">7]. </w:t>
      </w:r>
      <w:r>
        <w:rPr>
          <w:rFonts w:ascii="Tahoma" w:eastAsia="Tahoma" w:hAnsi="Tahoma" w:cs="Tahoma"/>
        </w:rPr>
        <w:t xml:space="preserve">De façon générale, 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 </w:t>
      </w:r>
      <w:r>
        <w:rPr>
          <w:rFonts w:ascii="Tahoma" w:eastAsia="Tahoma" w:hAnsi="Tahoma" w:cs="Tahoma"/>
          <w:color w:val="00000A"/>
        </w:rPr>
        <w:t xml:space="preserve"> Enfin, nous observons une corrélation positive entre les connaissances sur le changement climatique, la préoccupation concernant ses </w:t>
      </w:r>
      <w:r>
        <w:rPr>
          <w:rFonts w:ascii="Tahoma" w:eastAsia="Tahoma" w:hAnsi="Tahoma" w:cs="Tahoma"/>
          <w:color w:val="00000A"/>
        </w:rPr>
        <w:lastRenderedPageBreak/>
        <w:t>effets, et le soutien aux politiques climatiques, suggérant qu’une campagne d’information sur le changement climatique rendrait plus acceptable des mesures écologiques.</w:t>
      </w:r>
    </w:p>
    <w:p w:rsidR="004564FD" w:rsidRDefault="0061418B">
      <w:pPr>
        <w:spacing w:before="240" w:after="240" w:line="240" w:lineRule="auto"/>
        <w:jc w:val="both"/>
      </w:pPr>
      <w:r>
        <w:rPr>
          <w:noProof/>
          <w:lang w:val="en-US" w:eastAsia="en-US" w:bidi="ar-SA"/>
        </w:rPr>
        <mc:AlternateContent>
          <mc:Choice Requires="wps">
            <w:drawing>
              <wp:inline distT="0" distB="0" distL="0" distR="0" wp14:anchorId="2A6BD1BE" wp14:editId="055A39CC">
                <wp:extent cx="2881630" cy="1897380"/>
                <wp:effectExtent l="0" t="0" r="0" b="0"/>
                <wp:docPr id="37" name="Rectangle 37"/>
                <wp:cNvGraphicFramePr/>
                <a:graphic xmlns:a="http://schemas.openxmlformats.org/drawingml/2006/main">
                  <a:graphicData uri="http://schemas.microsoft.com/office/word/2010/wordprocessingShape">
                    <wps:wsp>
                      <wps:cNvSpPr/>
                      <wps:spPr>
                        <a:xfrm>
                          <a:off x="0" y="0"/>
                          <a:ext cx="2881080" cy="18968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3F2D64F2" wp14:editId="4B867EDD">
                                  <wp:extent cx="2880360" cy="165354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noChangeArrowheads="1"/>
                                          </pic:cNvPicPr>
                                        </pic:nvPicPr>
                                        <pic:blipFill>
                                          <a:blip r:embed="rId26"/>
                                          <a:stretch>
                                            <a:fillRect/>
                                          </a:stretch>
                                        </pic:blipFill>
                                        <pic:spPr bwMode="auto">
                                          <a:xfrm>
                                            <a:off x="0" y="0"/>
                                            <a:ext cx="2880360" cy="1653540"/>
                                          </a:xfrm>
                                          <a:prstGeom prst="rect">
                                            <a:avLst/>
                                          </a:prstGeom>
                                        </pic:spPr>
                                      </pic:pic>
                                    </a:graphicData>
                                  </a:graphic>
                                </wp:inline>
                              </w:drawing>
                            </w:r>
                            <w:r>
                              <w:rPr>
                                <w:vanish/>
                              </w:rPr>
                              <w:br/>
                            </w:r>
                            <w:r>
                              <w:rPr>
                                <w:sz w:val="16"/>
                                <w:szCs w:val="16"/>
                              </w:rPr>
                              <w:t>Figure 9: Seriez-vous favorable aux mesures suivantes ?</w:t>
                            </w:r>
                          </w:p>
                        </w:txbxContent>
                      </wps:txbx>
                      <wps:bodyPr lIns="0" tIns="0" rIns="0" bIns="0">
                        <a:noAutofit/>
                      </wps:bodyPr>
                    </wps:wsp>
                  </a:graphicData>
                </a:graphic>
              </wp:inline>
            </w:drawing>
          </mc:Choice>
          <mc:Fallback>
            <w:pict>
              <v:rect id="shape_0" stroked="f" style="position:absolute;margin-left:0pt;margin-top:-149.4pt;width:226.8pt;height:149.3pt;mso-position-vertical:top" wp14:anchorId="502710DA">
                <w10:wrap type="square"/>
                <v:fill o:detectmouseclick="t" on="false"/>
                <v:stroke color="#3465a4" joinstyle="round" endcap="flat"/>
                <v:textbox>
                  <w:txbxContent>
                    <w:p>
                      <w:pPr>
                        <w:pStyle w:val="Figure"/>
                        <w:spacing w:before="120" w:after="120"/>
                        <w:rPr/>
                      </w:pPr>
                      <w:r>
                        <w:rPr/>
                        <w:drawing>
                          <wp:inline distT="0" distB="0" distL="0" distR="0">
                            <wp:extent cx="2880360" cy="1653540"/>
                            <wp:effectExtent l="0" t="0" r="0" b="0"/>
                            <wp:docPr id="4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descr=""/>
                                    <pic:cNvPicPr>
                                      <a:picLocks noChangeAspect="1" noChangeArrowheads="1"/>
                                    </pic:cNvPicPr>
                                  </pic:nvPicPr>
                                  <pic:blipFill>
                                    <a:blip r:embed="rId27"/>
                                    <a:stretch>
                                      <a:fillRect/>
                                    </a:stretch>
                                  </pic:blipFill>
                                  <pic:spPr bwMode="auto">
                                    <a:xfrm>
                                      <a:off x="0" y="0"/>
                                      <a:ext cx="2880360" cy="1653540"/>
                                    </a:xfrm>
                                    <a:prstGeom prst="rect">
                                      <a:avLst/>
                                    </a:prstGeom>
                                  </pic:spPr>
                                </pic:pic>
                              </a:graphicData>
                            </a:graphic>
                          </wp:inline>
                        </w:drawing>
                      </w:r>
                      <w:r>
                        <w:rPr>
                          <w:vanish/>
                          <w:color w:val="auto"/>
                        </w:rPr>
                        <w:br/>
                      </w:r>
                      <w:r>
                        <w:rPr>
                          <w:color w:val="auto"/>
                          <w:sz w:val="16"/>
                          <w:szCs w:val="16"/>
                        </w:rPr>
                        <w:t>Figure 9: Seriez-vous favorable aux mesures suivantes ?</w:t>
                      </w:r>
                    </w:p>
                  </w:txbxContent>
                </v:textbox>
              </v:rect>
            </w:pict>
          </mc:Fallback>
        </mc:AlternateContent>
      </w:r>
      <w:r>
        <w:rPr>
          <w:noProof/>
          <w:lang w:val="en-US" w:eastAsia="en-US" w:bidi="ar-SA"/>
        </w:rPr>
        <mc:AlternateContent>
          <mc:Choice Requires="wps">
            <w:drawing>
              <wp:inline distT="0" distB="0" distL="0" distR="0" wp14:anchorId="7167FD6E" wp14:editId="3D725940">
                <wp:extent cx="2869565" cy="1910080"/>
                <wp:effectExtent l="0" t="0" r="0" b="0"/>
                <wp:docPr id="41" name="Rectangle 41"/>
                <wp:cNvGraphicFramePr/>
                <a:graphic xmlns:a="http://schemas.openxmlformats.org/drawingml/2006/main">
                  <a:graphicData uri="http://schemas.microsoft.com/office/word/2010/wordprocessingShape">
                    <wps:wsp>
                      <wps:cNvSpPr/>
                      <wps:spPr>
                        <a:xfrm>
                          <a:off x="0" y="0"/>
                          <a:ext cx="2868840" cy="19094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67EA0FDB" wp14:editId="196F24D8">
                                  <wp:extent cx="2868295" cy="1543050"/>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png"/>
                                          <pic:cNvPicPr>
                                            <a:picLocks noChangeAspect="1" noChangeArrowheads="1"/>
                                          </pic:cNvPicPr>
                                        </pic:nvPicPr>
                                        <pic:blipFill>
                                          <a:blip r:embed="rId28"/>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Figure 10: Je serais favorable à la taxe carbone si les recettes étaient utilisées pour financer ...</w:t>
                            </w:r>
                          </w:p>
                        </w:txbxContent>
                      </wps:txbx>
                      <wps:bodyPr lIns="0" tIns="0" rIns="0" bIns="0">
                        <a:noAutofit/>
                      </wps:bodyPr>
                    </wps:wsp>
                  </a:graphicData>
                </a:graphic>
              </wp:inline>
            </w:drawing>
          </mc:Choice>
          <mc:Fallback>
            <w:pict>
              <v:rect id="shape_0" stroked="f" style="position:absolute;margin-left:0pt;margin-top:-150.4pt;width:225.85pt;height:150.3pt;mso-position-vertical:top" wp14:anchorId="04354AF7">
                <w10:wrap type="square"/>
                <v:fill o:detectmouseclick="t" on="false"/>
                <v:stroke color="#3465a4" joinstyle="round" endcap="flat"/>
                <v:textbox>
                  <w:txbxContent>
                    <w:p>
                      <w:pPr>
                        <w:pStyle w:val="Figure"/>
                        <w:spacing w:before="120" w:after="120"/>
                        <w:rPr/>
                      </w:pPr>
                      <w:r>
                        <w:rPr/>
                        <w:drawing>
                          <wp:inline distT="0" distB="0" distL="0" distR="0">
                            <wp:extent cx="2868295" cy="1543050"/>
                            <wp:effectExtent l="0" t="0" r="0" b="0"/>
                            <wp:docPr id="4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descr=""/>
                                    <pic:cNvPicPr>
                                      <a:picLocks noChangeAspect="1" noChangeArrowheads="1"/>
                                    </pic:cNvPicPr>
                                  </pic:nvPicPr>
                                  <pic:blipFill>
                                    <a:blip r:embed="rId29"/>
                                    <a:stretch>
                                      <a:fillRect/>
                                    </a:stretch>
                                  </pic:blipFill>
                                  <pic:spPr bwMode="auto">
                                    <a:xfrm>
                                      <a:off x="0" y="0"/>
                                      <a:ext cx="2868295" cy="1543050"/>
                                    </a:xfrm>
                                    <a:prstGeom prst="rect">
                                      <a:avLst/>
                                    </a:prstGeom>
                                  </pic:spPr>
                                </pic:pic>
                              </a:graphicData>
                            </a:graphic>
                          </wp:inline>
                        </w:drawing>
                      </w:r>
                      <w:r>
                        <w:rPr>
                          <w:vanish/>
                          <w:color w:val="auto"/>
                          <w:sz w:val="16"/>
                          <w:szCs w:val="16"/>
                        </w:rPr>
                        <w:br/>
                      </w:r>
                      <w:r>
                        <w:rPr>
                          <w:color w:val="auto"/>
                          <w:sz w:val="16"/>
                          <w:szCs w:val="16"/>
                        </w:rPr>
                        <w:t>Figure 10: Je serais favorable à la taxe carbone si les recettes étaient utilisées pour financer ...</w:t>
                      </w:r>
                    </w:p>
                  </w:txbxContent>
                </v:textbox>
              </v:rect>
            </w:pict>
          </mc:Fallback>
        </mc:AlternateConten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Conclusion</w:t>
      </w:r>
    </w:p>
    <w:p w:rsidR="004564FD" w:rsidRDefault="0061418B">
      <w:pPr>
        <w:spacing w:before="240" w:after="240" w:line="240" w:lineRule="auto"/>
        <w:jc w:val="both"/>
      </w:pPr>
      <w:r>
        <w:rPr>
          <w:rFonts w:ascii="Tahoma" w:eastAsia="Tahoma" w:hAnsi="Tahoma" w:cs="Tahoma"/>
        </w:rPr>
        <w:t xml:space="preserve">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publics, de véhicules plus propres et de l’isolation thermique, etc. Troisièmement, pour </w:t>
      </w:r>
      <w:r>
        <w:rPr>
          <w:rFonts w:ascii="Tahoma" w:eastAsia="Tahoma" w:hAnsi="Tahoma" w:cs="Tahoma"/>
        </w:rPr>
        <w:lastRenderedPageBreak/>
        <w:t>permettre un déploiement ultérieur de la fiscalité carbone, une taxe limitée au kérosène dont les recettes seraient reversées à chaque Français pourrait servir d’exemple convaincant en faveur des mesures incitatives, car la taxation du kérosène est largement approuvée.</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rPr>
      </w:pPr>
      <w:r>
        <w:rPr>
          <w:rFonts w:ascii="Tahoma" w:eastAsia="Tahoma" w:hAnsi="Tahoma" w:cs="Tahoma"/>
          <w:b/>
        </w:rPr>
        <w:t>Références</w:t>
      </w:r>
    </w:p>
    <w:p w:rsidR="004564FD" w:rsidRDefault="0061418B">
      <w:pPr>
        <w:spacing w:before="240" w:after="240" w:line="240" w:lineRule="auto"/>
        <w:jc w:val="both"/>
      </w:pPr>
      <w:r>
        <w:rPr>
          <w:rFonts w:ascii="Tahoma" w:eastAsia="Tahoma" w:hAnsi="Tahoma" w:cs="Tahoma"/>
        </w:rPr>
        <w:t>ADEME (2018). Représentations sociales de l’effet de serre.</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 xml:space="preserve">S. Anderson, I. E. </w:t>
      </w:r>
      <w:proofErr w:type="spellStart"/>
      <w:r>
        <w:rPr>
          <w:rFonts w:ascii="Tahoma" w:eastAsia="Tahoma" w:hAnsi="Tahoma" w:cs="Tahoma"/>
          <w:lang w:val="en-US"/>
        </w:rPr>
        <w:t>Marinescu</w:t>
      </w:r>
      <w:proofErr w:type="spellEnd"/>
      <w:r>
        <w:rPr>
          <w:rFonts w:ascii="Tahoma" w:eastAsia="Tahoma" w:hAnsi="Tahoma" w:cs="Tahoma"/>
          <w:lang w:val="en-US"/>
        </w:rPr>
        <w:t xml:space="preserve">, B. Shor (2019). « Can Pigou at the Polls Stop US Melting the Poles? »  </w:t>
      </w:r>
      <w:proofErr w:type="gramStart"/>
      <w:r>
        <w:rPr>
          <w:rFonts w:ascii="Tahoma" w:eastAsia="Tahoma" w:hAnsi="Tahoma" w:cs="Tahoma"/>
          <w:lang w:val="en-US"/>
        </w:rPr>
        <w:t>Working Paper 26146, National Bureau of Economic Research.</w:t>
      </w:r>
      <w:proofErr w:type="gramEnd"/>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M. Ben </w:t>
      </w:r>
      <w:proofErr w:type="spellStart"/>
      <w:r>
        <w:rPr>
          <w:rFonts w:ascii="Tahoma" w:eastAsia="Tahoma" w:hAnsi="Tahoma" w:cs="Tahoma"/>
          <w:lang w:val="en-US"/>
        </w:rPr>
        <w:t>Jelloul</w:t>
      </w:r>
      <w:proofErr w:type="spellEnd"/>
      <w:r>
        <w:rPr>
          <w:rFonts w:ascii="Tahoma" w:eastAsia="Tahoma" w:hAnsi="Tahoma" w:cs="Tahoma"/>
          <w:lang w:val="en-US"/>
        </w:rPr>
        <w:t xml:space="preserve">, A. </w:t>
      </w:r>
      <w:proofErr w:type="spellStart"/>
      <w:r>
        <w:rPr>
          <w:rFonts w:ascii="Tahoma" w:eastAsia="Tahoma" w:hAnsi="Tahoma" w:cs="Tahoma"/>
          <w:lang w:val="en-US"/>
        </w:rPr>
        <w:t>Bozio</w:t>
      </w:r>
      <w:proofErr w:type="spellEnd"/>
      <w:r>
        <w:rPr>
          <w:rFonts w:ascii="Tahoma" w:eastAsia="Tahoma" w:hAnsi="Tahoma" w:cs="Tahoma"/>
          <w:lang w:val="en-US"/>
        </w:rPr>
        <w:t xml:space="preserve">, T. Douenne, B. Fabre, C. Leroy (2019). </w:t>
      </w:r>
      <w:r>
        <w:rPr>
          <w:rFonts w:ascii="Tahoma" w:eastAsia="Tahoma" w:hAnsi="Tahoma" w:cs="Tahoma"/>
        </w:rPr>
        <w:t>« Budget 2019 : quels effets pour les ménages ? », Notes IPP, vol. 37, 11p.</w:t>
      </w:r>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D. Bureau, F. </w:t>
      </w:r>
      <w:proofErr w:type="spellStart"/>
      <w:r>
        <w:rPr>
          <w:rFonts w:ascii="Tahoma" w:eastAsia="Tahoma" w:hAnsi="Tahoma" w:cs="Tahoma"/>
          <w:lang w:val="en-US"/>
        </w:rPr>
        <w:t>Henriet</w:t>
      </w:r>
      <w:proofErr w:type="spellEnd"/>
      <w:r>
        <w:rPr>
          <w:rFonts w:ascii="Tahoma" w:eastAsia="Tahoma" w:hAnsi="Tahoma" w:cs="Tahoma"/>
          <w:lang w:val="en-US"/>
        </w:rPr>
        <w:t xml:space="preserve">, K. Schubert (2019). </w:t>
      </w:r>
      <w:r>
        <w:rPr>
          <w:rFonts w:ascii="Tahoma" w:eastAsia="Tahoma" w:hAnsi="Tahoma" w:cs="Tahoma"/>
        </w:rPr>
        <w:t>« Pour le climat : une taxe juste, pas juste une taxe ». Les notes du conseil d’analyse économique, (50):12.</w:t>
      </w:r>
    </w:p>
    <w:p w:rsidR="004564FD" w:rsidRDefault="0061418B">
      <w:pPr>
        <w:spacing w:before="240" w:after="240" w:line="240" w:lineRule="auto"/>
        <w:jc w:val="both"/>
        <w:rPr>
          <w:rFonts w:ascii="Tahoma" w:eastAsia="Tahoma" w:hAnsi="Tahoma" w:cs="Tahoma"/>
          <w:lang w:val="en-US"/>
        </w:rPr>
      </w:pPr>
      <w:r w:rsidRPr="00736446">
        <w:rPr>
          <w:rFonts w:ascii="Tahoma" w:eastAsia="Tahoma" w:hAnsi="Tahoma" w:cs="Tahoma"/>
          <w:lang w:val="en-US"/>
        </w:rPr>
        <w:t xml:space="preserve">S. </w:t>
      </w:r>
      <w:proofErr w:type="spellStart"/>
      <w:r w:rsidRPr="00736446">
        <w:rPr>
          <w:rFonts w:ascii="Tahoma" w:eastAsia="Tahoma" w:hAnsi="Tahoma" w:cs="Tahoma"/>
          <w:lang w:val="en-US"/>
        </w:rPr>
        <w:t>Carattini</w:t>
      </w:r>
      <w:proofErr w:type="spellEnd"/>
      <w:r w:rsidRPr="00736446">
        <w:rPr>
          <w:rFonts w:ascii="Tahoma" w:eastAsia="Tahoma" w:hAnsi="Tahoma" w:cs="Tahoma"/>
          <w:lang w:val="en-US"/>
        </w:rPr>
        <w:t xml:space="preserve">, M. </w:t>
      </w:r>
      <w:proofErr w:type="spellStart"/>
      <w:r w:rsidRPr="00736446">
        <w:rPr>
          <w:rFonts w:ascii="Tahoma" w:eastAsia="Tahoma" w:hAnsi="Tahoma" w:cs="Tahoma"/>
          <w:lang w:val="en-US"/>
        </w:rPr>
        <w:t>Carvalho</w:t>
      </w:r>
      <w:proofErr w:type="spellEnd"/>
      <w:r w:rsidRPr="00736446">
        <w:rPr>
          <w:rFonts w:ascii="Tahoma" w:eastAsia="Tahoma" w:hAnsi="Tahoma" w:cs="Tahoma"/>
          <w:lang w:val="en-US"/>
        </w:rPr>
        <w:t xml:space="preserve">, S. </w:t>
      </w:r>
      <w:proofErr w:type="spellStart"/>
      <w:r w:rsidRPr="00736446">
        <w:rPr>
          <w:rFonts w:ascii="Tahoma" w:eastAsia="Tahoma" w:hAnsi="Tahoma" w:cs="Tahoma"/>
          <w:lang w:val="en-US"/>
        </w:rPr>
        <w:t>Fankhauser</w:t>
      </w:r>
      <w:proofErr w:type="spellEnd"/>
      <w:r w:rsidRPr="00736446">
        <w:rPr>
          <w:rFonts w:ascii="Tahoma" w:eastAsia="Tahoma" w:hAnsi="Tahoma" w:cs="Tahoma"/>
          <w:lang w:val="en-US"/>
        </w:rPr>
        <w:t xml:space="preserve"> (2018). </w:t>
      </w:r>
      <w:proofErr w:type="gramStart"/>
      <w:r>
        <w:rPr>
          <w:rFonts w:ascii="Tahoma" w:eastAsia="Tahoma" w:hAnsi="Tahoma" w:cs="Tahoma"/>
          <w:lang w:val="en-US"/>
        </w:rPr>
        <w:t>« Overcoming public resistance to carbon taxes ».</w:t>
      </w:r>
      <w:proofErr w:type="gramEnd"/>
      <w:r>
        <w:rPr>
          <w:rFonts w:ascii="Tahoma" w:eastAsia="Tahoma" w:hAnsi="Tahoma" w:cs="Tahoma"/>
          <w:lang w:val="en-US"/>
        </w:rPr>
        <w:t xml:space="preserve"> Wiley Interdisciplinary Reviews: </w:t>
      </w:r>
      <w:r>
        <w:rPr>
          <w:rFonts w:ascii="Tahoma" w:eastAsia="Tahoma" w:hAnsi="Tahoma" w:cs="Tahoma"/>
          <w:i/>
          <w:lang w:val="en-US"/>
        </w:rPr>
        <w:t>Climate Change</w:t>
      </w:r>
      <w:r>
        <w:rPr>
          <w:rFonts w:ascii="Tahoma" w:eastAsia="Tahoma" w:hAnsi="Tahoma" w:cs="Tahoma"/>
          <w:lang w:val="en-US"/>
        </w:rPr>
        <w:t>, 9(5):e531.</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 xml:space="preserve">T. Douenne (2019). « The vertical and horizontal distributive effects of energy taxes: a case study of a French policy », </w:t>
      </w:r>
      <w:r>
        <w:rPr>
          <w:rFonts w:ascii="Tahoma" w:eastAsia="Tahoma" w:hAnsi="Tahoma" w:cs="Tahoma"/>
          <w:i/>
          <w:lang w:val="en-US"/>
        </w:rPr>
        <w:t>The Energy Journal</w:t>
      </w:r>
      <w:r>
        <w:rPr>
          <w:rFonts w:ascii="Tahoma" w:eastAsia="Tahoma" w:hAnsi="Tahoma" w:cs="Tahoma"/>
          <w:lang w:val="en-US"/>
        </w:rPr>
        <w:t xml:space="preserve"> (Forthcoming)</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 xml:space="preserve">T. Douenne, A. Fabre (2019). « French Attitudes on Climate Change, Carbon Taxation and other Climate Policies », </w:t>
      </w:r>
      <w:r>
        <w:rPr>
          <w:rFonts w:ascii="Tahoma" w:eastAsia="Tahoma" w:hAnsi="Tahoma" w:cs="Tahoma"/>
          <w:i/>
          <w:lang w:val="en-US"/>
        </w:rPr>
        <w:t>Ecological Economics</w:t>
      </w:r>
      <w:r>
        <w:rPr>
          <w:rFonts w:ascii="Tahoma" w:eastAsia="Tahoma" w:hAnsi="Tahoma" w:cs="Tahoma"/>
          <w:lang w:val="en-US"/>
        </w:rPr>
        <w:t xml:space="preserve"> (Forthcoming)</w:t>
      </w:r>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T. Douenne, A. Fabre (2019). « Can We Reconcile French People with the Carbon Tax? </w:t>
      </w:r>
      <w:proofErr w:type="spellStart"/>
      <w:r>
        <w:rPr>
          <w:rFonts w:ascii="Tahoma" w:eastAsia="Tahoma" w:hAnsi="Tahoma" w:cs="Tahoma"/>
        </w:rPr>
        <w:t>Disentangling</w:t>
      </w:r>
      <w:proofErr w:type="spellEnd"/>
      <w:r>
        <w:rPr>
          <w:rFonts w:ascii="Tahoma" w:eastAsia="Tahoma" w:hAnsi="Tahoma" w:cs="Tahoma"/>
        </w:rPr>
        <w:t xml:space="preserve"> </w:t>
      </w:r>
      <w:proofErr w:type="spellStart"/>
      <w:r>
        <w:rPr>
          <w:rFonts w:ascii="Tahoma" w:eastAsia="Tahoma" w:hAnsi="Tahoma" w:cs="Tahoma"/>
        </w:rPr>
        <w:t>Beliefs</w:t>
      </w:r>
      <w:proofErr w:type="spellEnd"/>
      <w:r>
        <w:rPr>
          <w:rFonts w:ascii="Tahoma" w:eastAsia="Tahoma" w:hAnsi="Tahoma" w:cs="Tahoma"/>
        </w:rPr>
        <w:t xml:space="preserve"> </w:t>
      </w:r>
      <w:proofErr w:type="spellStart"/>
      <w:r>
        <w:rPr>
          <w:rFonts w:ascii="Tahoma" w:eastAsia="Tahoma" w:hAnsi="Tahoma" w:cs="Tahoma"/>
        </w:rPr>
        <w:t>from</w:t>
      </w:r>
      <w:proofErr w:type="spellEnd"/>
      <w:r>
        <w:rPr>
          <w:rFonts w:ascii="Tahoma" w:eastAsia="Tahoma" w:hAnsi="Tahoma" w:cs="Tahoma"/>
        </w:rPr>
        <w:t xml:space="preserve"> </w:t>
      </w:r>
      <w:proofErr w:type="spellStart"/>
      <w:r>
        <w:rPr>
          <w:rFonts w:ascii="Tahoma" w:eastAsia="Tahoma" w:hAnsi="Tahoma" w:cs="Tahoma"/>
        </w:rPr>
        <w:t>Preferences</w:t>
      </w:r>
      <w:proofErr w:type="spellEnd"/>
      <w:r>
        <w:rPr>
          <w:rFonts w:ascii="Tahoma" w:eastAsia="Tahoma" w:hAnsi="Tahoma" w:cs="Tahoma"/>
        </w:rPr>
        <w:t xml:space="preserve"> » FAERE </w:t>
      </w:r>
      <w:proofErr w:type="spellStart"/>
      <w:r>
        <w:rPr>
          <w:rFonts w:ascii="Tahoma" w:eastAsia="Tahoma" w:hAnsi="Tahoma" w:cs="Tahoma"/>
        </w:rPr>
        <w:t>Working</w:t>
      </w:r>
      <w:proofErr w:type="spellEnd"/>
      <w:r>
        <w:rPr>
          <w:rFonts w:ascii="Tahoma" w:eastAsia="Tahoma" w:hAnsi="Tahoma" w:cs="Tahoma"/>
        </w:rPr>
        <w:t xml:space="preserve"> Paper, 2019.10.</w:t>
      </w:r>
    </w:p>
    <w:p w:rsidR="004564FD" w:rsidRDefault="004564FD">
      <w:pPr>
        <w:spacing w:before="240" w:after="240" w:line="240" w:lineRule="auto"/>
        <w:rPr>
          <w:rFonts w:ascii="Tahoma" w:eastAsia="Tahoma" w:hAnsi="Tahoma" w:cs="Tahoma"/>
        </w:rPr>
      </w:pPr>
    </w:p>
    <w:p w:rsidR="004564FD" w:rsidRDefault="0061418B">
      <w:pPr>
        <w:spacing w:before="240" w:after="240" w:line="240" w:lineRule="auto"/>
        <w:rPr>
          <w:rFonts w:ascii="Tahoma" w:eastAsia="Tahoma" w:hAnsi="Tahoma" w:cs="Tahoma"/>
        </w:rPr>
      </w:pPr>
      <w:r>
        <w:rPr>
          <w:noProof/>
          <w:lang w:val="en-US" w:eastAsia="en-US" w:bidi="ar-SA"/>
        </w:rPr>
        <mc:AlternateContent>
          <mc:Choice Requires="wps">
            <w:drawing>
              <wp:inline distT="0" distB="0" distL="0" distR="0" wp14:anchorId="029C2A3B" wp14:editId="3C0CDCA5">
                <wp:extent cx="3175" cy="21590"/>
                <wp:effectExtent l="0" t="0" r="0" b="0"/>
                <wp:docPr id="45" name="Rectangle 45"/>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7pt;width:0.15pt;height:1.6pt;mso-position-vertical:top" wp14:anchorId="3FDF68E6">
                <w10:wrap type="none"/>
                <v:fill o:detectmouseclick="t" type="solid" color2="#5f5f5f"/>
                <v:stroke color="#3465a4" joinstyle="round" endcap="flat"/>
              </v:rect>
            </w:pict>
          </mc:Fallback>
        </mc:AlternateContent>
      </w:r>
    </w:p>
    <w:p w:rsidR="004564FD" w:rsidRDefault="004564FD">
      <w:pPr>
        <w:spacing w:before="240" w:after="240" w:line="240" w:lineRule="auto"/>
        <w:rPr>
          <w:rFonts w:ascii="Tahoma" w:eastAsia="Tahoma" w:hAnsi="Tahoma" w:cs="Tahoma"/>
        </w:rPr>
      </w:pP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lastRenderedPageBreak/>
        <w:t>[1]</w:t>
      </w:r>
      <w:r>
        <w:rPr>
          <w:rFonts w:ascii="Tahoma" w:eastAsia="Tahoma" w:hAnsi="Tahoma" w:cs="Tahoma"/>
        </w:rPr>
        <w:t xml:space="preserve"> Ben </w:t>
      </w:r>
      <w:proofErr w:type="spellStart"/>
      <w:r>
        <w:rPr>
          <w:rFonts w:ascii="Tahoma" w:eastAsia="Tahoma" w:hAnsi="Tahoma" w:cs="Tahoma"/>
        </w:rPr>
        <w:t>Jelloul</w:t>
      </w:r>
      <w:proofErr w:type="spellEnd"/>
      <w:r>
        <w:rPr>
          <w:rFonts w:ascii="Tahoma" w:eastAsia="Tahoma" w:hAnsi="Tahoma" w:cs="Tahoma"/>
        </w:rPr>
        <w:t xml:space="preserve"> et al, « Budget 2019 : quels effets pour les ménages ? », Notes IPP, vol. 37, Jan 2019, 11p.</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w:t>
      </w:r>
      <w:proofErr w:type="spellStart"/>
      <w:r>
        <w:rPr>
          <w:rFonts w:ascii="Tahoma" w:eastAsia="Tahoma" w:hAnsi="Tahoma" w:cs="Tahoma"/>
        </w:rPr>
        <w:t>php</w:t>
      </w:r>
      <w:proofErr w:type="spellEnd"/>
      <w:r>
        <w:rPr>
          <w:rFonts w:ascii="Tahoma" w:eastAsia="Tahoma" w:hAnsi="Tahoma" w:cs="Tahoma"/>
        </w:rPr>
        <w:t>#_e</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Déplacements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 l’Enquête Logement » afin d’effectuer l’estimation des gains/pertes liés à la politique, et avons ensuite testé sa précision « out-of-</w:t>
      </w:r>
      <w:proofErr w:type="spellStart"/>
      <w:r>
        <w:rPr>
          <w:rFonts w:ascii="Tahoma" w:eastAsia="Tahoma" w:hAnsi="Tahoma" w:cs="Tahoma"/>
        </w:rPr>
        <w:t>sample</w:t>
      </w:r>
      <w:proofErr w:type="spellEnd"/>
      <w:r>
        <w:rPr>
          <w:rFonts w:ascii="Tahoma" w:eastAsia="Tahoma" w:hAnsi="Tahoma" w:cs="Tahoma"/>
        </w:rPr>
        <w:t xml:space="preserve"> » sur les données de l’enquête « Budget de Famille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d’ « effet boomerang ».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[7]</w:t>
      </w:r>
      <w:r>
        <w:rPr>
          <w:rFonts w:ascii="Tahoma" w:eastAsia="Tahoma" w:hAnsi="Tahoma" w:cs="Tahoma"/>
        </w:rPr>
        <w:t xml:space="preserve"> Voir </w:t>
      </w:r>
      <w:proofErr w:type="spellStart"/>
      <w:r>
        <w:rPr>
          <w:rFonts w:ascii="Tahoma" w:eastAsia="Tahoma" w:hAnsi="Tahoma" w:cs="Tahoma"/>
        </w:rPr>
        <w:t>Carattini</w:t>
      </w:r>
      <w:proofErr w:type="spellEnd"/>
      <w:r>
        <w:rPr>
          <w:rFonts w:ascii="Tahoma" w:eastAsia="Tahoma" w:hAnsi="Tahoma" w:cs="Tahoma"/>
        </w:rPr>
        <w:t xml:space="preserve"> et al (2018)</w:t>
      </w:r>
    </w:p>
    <w:p w:rsidR="004564FD" w:rsidRDefault="004564FD">
      <w:pPr>
        <w:spacing w:before="240" w:after="240" w:line="240" w:lineRule="auto"/>
        <w:rPr>
          <w:rFonts w:ascii="Tahoma" w:eastAsia="Tahoma" w:hAnsi="Tahoma" w:cs="Tahoma"/>
        </w:rPr>
      </w:pPr>
    </w:p>
    <w:p w:rsidR="004564FD" w:rsidRDefault="004564FD">
      <w:pPr>
        <w:spacing w:before="240" w:after="240" w:line="240" w:lineRule="auto"/>
        <w:rPr>
          <w:rFonts w:ascii="Tahoma" w:eastAsia="Tahoma" w:hAnsi="Tahoma" w:cs="Tahoma"/>
          <w:b/>
          <w:color w:val="0070C0"/>
        </w:rPr>
      </w:pPr>
    </w:p>
    <w:p w:rsidR="004564FD" w:rsidRDefault="004564FD"/>
    <w:sectPr w:rsidR="004564FD">
      <w:type w:val="continuous"/>
      <w:pgSz w:w="11906" w:h="16838"/>
      <w:pgMar w:top="1440" w:right="1132" w:bottom="1440" w:left="1133" w:header="720" w:footer="0" w:gutter="0"/>
      <w:cols w:num="2" w:space="298"/>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A9A" w:rsidRDefault="00C20A9A">
      <w:pPr>
        <w:spacing w:line="240" w:lineRule="auto"/>
      </w:pPr>
      <w:r>
        <w:separator/>
      </w:r>
    </w:p>
  </w:endnote>
  <w:endnote w:type="continuationSeparator" w:id="0">
    <w:p w:rsidR="00C20A9A" w:rsidRDefault="00C20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A9A" w:rsidRDefault="00C20A9A">
      <w:pPr>
        <w:spacing w:line="240" w:lineRule="auto"/>
      </w:pPr>
      <w:r>
        <w:separator/>
      </w:r>
    </w:p>
  </w:footnote>
  <w:footnote w:type="continuationSeparator" w:id="0">
    <w:p w:rsidR="00C20A9A" w:rsidRDefault="00C20A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4FD" w:rsidRDefault="0061418B">
    <w:pPr>
      <w:jc w:val="right"/>
    </w:pPr>
    <w:r>
      <w:fldChar w:fldCharType="begin"/>
    </w:r>
    <w:r>
      <w:instrText>PAGE</w:instrText>
    </w:r>
    <w:r>
      <w:fldChar w:fldCharType="separate"/>
    </w:r>
    <w:r w:rsidR="00736446">
      <w:rPr>
        <w:noProof/>
      </w:rPr>
      <w:t>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64FD"/>
    <w:rsid w:val="004564FD"/>
    <w:rsid w:val="00611D91"/>
    <w:rsid w:val="0061418B"/>
    <w:rsid w:val="00736446"/>
    <w:rsid w:val="00C20A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45BC0"/>
    <w:rPr>
      <w:rFonts w:ascii="Tahoma" w:hAnsi="Tahoma" w:cs="Mangal"/>
      <w:sz w:val="16"/>
      <w:szCs w:val="14"/>
    </w:rPr>
  </w:style>
  <w:style w:type="character" w:customStyle="1" w:styleId="CommentSubjectChar">
    <w:name w:val="Comment Subject Char"/>
    <w:basedOn w:val="CommentTextChar"/>
    <w:link w:val="CommentSubject"/>
    <w:uiPriority w:val="99"/>
    <w:semiHidden/>
    <w:qFormat/>
    <w:rsid w:val="001046A2"/>
    <w:rPr>
      <w:rFonts w:cs="Mangal"/>
      <w:b/>
      <w:bCs/>
      <w:szCs w:val="18"/>
    </w:rPr>
  </w:style>
  <w:style w:type="character" w:customStyle="1" w:styleId="ListLabel3">
    <w:name w:val="ListLabel 3"/>
    <w:qFormat/>
  </w:style>
  <w:style w:type="character" w:customStyle="1" w:styleId="ListLabel4">
    <w:name w:val="ListLabel 4"/>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qFormat/>
    <w:pPr>
      <w:spacing w:line="240" w:lineRule="auto"/>
    </w:pPr>
    <w:rPr>
      <w:rFonts w:cs="Mangal"/>
      <w:sz w:val="20"/>
      <w:szCs w:val="18"/>
    </w:rPr>
  </w:style>
  <w:style w:type="paragraph" w:styleId="BalloonText">
    <w:name w:val="Balloon Text"/>
    <w:basedOn w:val="Normal"/>
    <w:link w:val="BalloonTextChar"/>
    <w:uiPriority w:val="99"/>
    <w:semiHidden/>
    <w:unhideWhenUsed/>
    <w:qFormat/>
    <w:rsid w:val="00245BC0"/>
    <w:pPr>
      <w:spacing w:line="240" w:lineRule="auto"/>
    </w:pPr>
    <w:rPr>
      <w:rFonts w:ascii="Tahoma" w:hAnsi="Tahoma" w:cs="Mangal"/>
      <w:sz w:val="16"/>
      <w:szCs w:val="14"/>
    </w:rPr>
  </w:style>
  <w:style w:type="paragraph" w:styleId="CommentSubject">
    <w:name w:val="annotation subject"/>
    <w:basedOn w:val="CommentText"/>
    <w:link w:val="CommentSubjectChar"/>
    <w:uiPriority w:val="99"/>
    <w:semiHidden/>
    <w:unhideWhenUsed/>
    <w:qFormat/>
    <w:rsid w:val="001046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45BC0"/>
    <w:rPr>
      <w:rFonts w:ascii="Tahoma" w:hAnsi="Tahoma" w:cs="Mangal"/>
      <w:sz w:val="16"/>
      <w:szCs w:val="14"/>
    </w:rPr>
  </w:style>
  <w:style w:type="character" w:customStyle="1" w:styleId="CommentSubjectChar">
    <w:name w:val="Comment Subject Char"/>
    <w:basedOn w:val="CommentTextChar"/>
    <w:link w:val="CommentSubject"/>
    <w:uiPriority w:val="99"/>
    <w:semiHidden/>
    <w:qFormat/>
    <w:rsid w:val="001046A2"/>
    <w:rPr>
      <w:rFonts w:cs="Mangal"/>
      <w:b/>
      <w:bCs/>
      <w:szCs w:val="18"/>
    </w:rPr>
  </w:style>
  <w:style w:type="character" w:customStyle="1" w:styleId="ListLabel3">
    <w:name w:val="ListLabel 3"/>
    <w:qFormat/>
  </w:style>
  <w:style w:type="character" w:customStyle="1" w:styleId="ListLabel4">
    <w:name w:val="ListLabel 4"/>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qFormat/>
    <w:pPr>
      <w:spacing w:line="240" w:lineRule="auto"/>
    </w:pPr>
    <w:rPr>
      <w:rFonts w:cs="Mangal"/>
      <w:sz w:val="20"/>
      <w:szCs w:val="18"/>
    </w:rPr>
  </w:style>
  <w:style w:type="paragraph" w:styleId="BalloonText">
    <w:name w:val="Balloon Text"/>
    <w:basedOn w:val="Normal"/>
    <w:link w:val="BalloonTextChar"/>
    <w:uiPriority w:val="99"/>
    <w:semiHidden/>
    <w:unhideWhenUsed/>
    <w:qFormat/>
    <w:rsid w:val="00245BC0"/>
    <w:pPr>
      <w:spacing w:line="240" w:lineRule="auto"/>
    </w:pPr>
    <w:rPr>
      <w:rFonts w:ascii="Tahoma" w:hAnsi="Tahoma" w:cs="Mangal"/>
      <w:sz w:val="16"/>
      <w:szCs w:val="14"/>
    </w:rPr>
  </w:style>
  <w:style w:type="paragraph" w:styleId="CommentSubject">
    <w:name w:val="annotation subject"/>
    <w:basedOn w:val="CommentText"/>
    <w:link w:val="CommentSubjectChar"/>
    <w:uiPriority w:val="99"/>
    <w:semiHidden/>
    <w:unhideWhenUsed/>
    <w:qFormat/>
    <w:rsid w:val="00104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0.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alternatives-economiques.fr/part-differents-modes-de-transport-fonction-de-distance-domicile-travail-effectuee-actifs-ayant-un-0112201781570.html" TargetMode="External"/><Relationship Id="rId7"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0.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9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50953-6AB8-48B1-BBC9-6093749AC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3841</Words>
  <Characters>20976</Characters>
  <Application>Microsoft Office Word</Application>
  <DocSecurity>0</DocSecurity>
  <Lines>616</Lines>
  <Paragraphs>66</Paragraphs>
  <ScaleCrop>false</ScaleCrop>
  <Company>Microsoft</Company>
  <LinksUpToDate>false</LinksUpToDate>
  <CharactersWithSpaces>24751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22</cp:revision>
  <dcterms:created xsi:type="dcterms:W3CDTF">2019-10-22T20:29:00Z</dcterms:created>
  <dcterms:modified xsi:type="dcterms:W3CDTF">2019-10-25T18:09:00Z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