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4FD" w:rsidRDefault="0061418B">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w:t>
      </w:r>
      <w:r w:rsidR="00B04283">
        <w:rPr>
          <w:rFonts w:ascii="Tahoma" w:eastAsia="Tahoma" w:hAnsi="Tahoma" w:cs="Tahoma"/>
          <w:b/>
        </w:rPr>
        <w:t>O</w:t>
      </w:r>
      <w:bookmarkStart w:id="0" w:name="_GoBack"/>
      <w:bookmarkEnd w:id="0"/>
      <w:r>
        <w:rPr>
          <w:rFonts w:ascii="Tahoma" w:eastAsia="Tahoma" w:hAnsi="Tahoma" w:cs="Tahoma"/>
          <w:b/>
        </w:rPr>
        <w:t>pinions des Français sur les politiques climatiques</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b/>
          <w:color w:val="0070C0"/>
        </w:rPr>
      </w:pPr>
      <w:r>
        <w:rPr>
          <w:rFonts w:ascii="Tahoma" w:eastAsia="Tahoma" w:hAnsi="Tahoma" w:cs="Tahoma"/>
          <w:b/>
          <w:color w:val="0070C0"/>
        </w:rPr>
        <w:t>Résumé</w:t>
      </w:r>
    </w:p>
    <w:p w:rsidR="004564FD" w:rsidRDefault="0061418B">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redistribuées uniformément à chaque adulte, de façon à rendre la mesure progressive. Cela s’explique par une grande méfiance vis-à-vis d’une telle mesure : la plupart des gens pensent qu’elle nuirait à leur pouvoir d’achat, aux plus modestes, et qu’elle serait inefficace écologiquement.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rsidR="004564FD" w:rsidRDefault="0061418B">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répondants, mais ce lien causal nous permet malgré tout de déduire que le rejet de la taxe est presque entièrement dû aux perceptions inexactes quant à ses effets. </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 xml:space="preserve">Les Français sont conscients et inquiets </w:t>
      </w:r>
      <w:r>
        <w:rPr>
          <w:rFonts w:ascii="Tahoma" w:eastAsia="Tahoma" w:hAnsi="Tahoma" w:cs="Tahoma"/>
        </w:rPr>
        <w:lastRenderedPageBreak/>
        <w:t xml:space="preserve">du changement climatique, et prêts à changer de mode de vie si cela participe d’un effort collectif. Une majorité soutient plusieurs politiques climatiques, par exemple en faveur de l’isolation des bâtiments. </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rsidR="004564FD" w:rsidRDefault="0061418B">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 la taxe carbone, ou plus exactement la Contribution Climat-Énergie, dont les augmentations récentes ainsi que les nouvelles hausses prévues dès le mois de janvier ont affaibli le pouvoir d’achat des Français. Introduite en 2014 à hauteur de 7€ par tonne de CO</w:t>
      </w:r>
      <w:r w:rsidRPr="00736446">
        <w:rPr>
          <w:rFonts w:ascii="Tahoma" w:eastAsia="Tahoma" w:hAnsi="Tahoma" w:cs="Tahoma"/>
          <w:vertAlign w:val="subscript"/>
        </w:rPr>
        <w:t>2</w:t>
      </w:r>
      <w:r>
        <w:rPr>
          <w:rFonts w:ascii="Tahoma" w:eastAsia="Tahoma" w:hAnsi="Tahoma" w:cs="Tahoma"/>
        </w:rPr>
        <w:t xml:space="preserve"> (€/tCO</w:t>
      </w:r>
      <w:r w:rsidRPr="00736446">
        <w:rPr>
          <w:rFonts w:ascii="Tahoma" w:eastAsia="Tahoma" w:hAnsi="Tahoma" w:cs="Tahoma"/>
          <w:vertAlign w:val="subscript"/>
        </w:rPr>
        <w:t>2</w:t>
      </w:r>
      <w:r>
        <w:rPr>
          <w:rFonts w:ascii="Tahoma" w:eastAsia="Tahoma" w:hAnsi="Tahoma" w:cs="Tahoma"/>
        </w:rPr>
        <w:t>), cette taxe avait atteint 44,6€/tCO</w:t>
      </w:r>
      <w:r w:rsidRPr="00736446">
        <w:rPr>
          <w:rFonts w:ascii="Tahoma" w:eastAsia="Tahoma" w:hAnsi="Tahoma" w:cs="Tahoma"/>
          <w:vertAlign w:val="subscript"/>
        </w:rPr>
        <w:t>2</w:t>
      </w:r>
      <w:r>
        <w:rPr>
          <w:rFonts w:ascii="Tahoma" w:eastAsia="Tahoma" w:hAnsi="Tahoma" w:cs="Tahoma"/>
        </w:rPr>
        <w:t xml:space="preserve"> en 2018 et devait être portée à 86,2€/tCO</w:t>
      </w:r>
      <w:r w:rsidRPr="00736446">
        <w:rPr>
          <w:rFonts w:ascii="Tahoma" w:eastAsia="Tahoma" w:hAnsi="Tahoma" w:cs="Tahoma"/>
          <w:vertAlign w:val="subscript"/>
        </w:rPr>
        <w:t>2</w:t>
      </w:r>
      <w:r>
        <w:rPr>
          <w:rFonts w:ascii="Tahoma" w:eastAsia="Tahoma" w:hAnsi="Tahoma" w:cs="Tahoma"/>
        </w:rPr>
        <w:t xml:space="preserve"> en 2022, puis au-delà dans un futur proche. Devant le large soutien des Français aux revendications du mouvement, le gouvernement acta fin 2018 le gel de la taxe à son niveau du début de l’année.</w:t>
      </w:r>
    </w:p>
    <w:p w:rsidR="004564FD" w:rsidRDefault="0061418B">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d’autres termes, si une taxe carbone plus équitable susciterait une plus grande approbation. Deuxièmement, au-delà de la taxe carbone, il convient de se demander quelles </w:t>
      </w:r>
      <w:r>
        <w:rPr>
          <w:rFonts w:ascii="Tahoma" w:eastAsia="Tahoma" w:hAnsi="Tahoma" w:cs="Tahoma"/>
        </w:rPr>
        <w:lastRenderedPageBreak/>
        <w:t>sont les perceptions des Français vis-à-vis du changement climatique, et quelles politiques ils seraient prêts à soutenir pour amorcer la transition énergétique et écologique.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rsidR="004564FD" w:rsidRDefault="0061418B">
      <w:pPr>
        <w:spacing w:before="240" w:after="240" w:line="240" w:lineRule="auto"/>
        <w:jc w:val="both"/>
      </w:pPr>
      <w:r>
        <w:rPr>
          <w:rFonts w:ascii="Tahoma" w:eastAsia="Tahoma" w:hAnsi="Tahoma" w:cs="Tahoma"/>
        </w:rPr>
        <w:t>Cette note rapporte les résultats de deux études visant chacune à répondre aux questions précédentes. Ces travaux en anglais (Douenne &amp; Fabre, 2019 a, b) ont été réalisé à partir d’un sondage</w:t>
      </w:r>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sur l’échelle gauche-droite et relativement aux Gilets jaunes.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rsidR="004564FD" w:rsidRDefault="0061418B">
      <w:pPr>
        <w:spacing w:before="240" w:after="240" w:line="240" w:lineRule="auto"/>
        <w:jc w:val="both"/>
      </w:pPr>
      <w:r>
        <w:rPr>
          <w:rFonts w:ascii="Tahoma" w:eastAsia="Tahoma" w:hAnsi="Tahoma" w:cs="Tahoma"/>
        </w:rPr>
        <w:t>Les Français partagent largement la connaissance du caractère anthropique du changement climatique (72%), et la part qui ne croit pas à son existence est marginale (4%), comme le montre la Figure 1. En même temps, leurs connaissances de la science climatique sont limitées. Même si 77% cochent correctement « CO</w:t>
      </w:r>
      <w:r>
        <w:rPr>
          <w:rFonts w:ascii="Tahoma" w:eastAsia="Tahoma" w:hAnsi="Tahoma" w:cs="Tahoma"/>
          <w:vertAlign w:val="subscript"/>
        </w:rPr>
        <w:t>2</w:t>
      </w:r>
      <w:r>
        <w:rPr>
          <w:rFonts w:ascii="Tahoma" w:eastAsia="Tahoma" w:hAnsi="Tahoma" w:cs="Tahoma"/>
        </w:rPr>
        <w:t xml:space="preserve"> » comme un gaz à effet de </w:t>
      </w:r>
      <w:r>
        <w:rPr>
          <w:rFonts w:ascii="Tahoma" w:eastAsia="Tahoma" w:hAnsi="Tahoma" w:cs="Tahoma"/>
        </w:rPr>
        <w:lastRenderedPageBreak/>
        <w:t>serre, presque 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3B390D9C" wp14:editId="16CBDD1C">
                <wp:extent cx="2944495" cy="689610"/>
                <wp:effectExtent l="0" t="0" r="0" b="0"/>
                <wp:docPr id="1" name="Rectangle 1"/>
                <wp:cNvGraphicFramePr/>
                <a:graphic xmlns:a="http://schemas.openxmlformats.org/drawingml/2006/main">
                  <a:graphicData uri="http://schemas.microsoft.com/office/word/2010/wordprocessingShape">
                    <wps:wsp>
                      <wps:cNvSpPr/>
                      <wps:spPr>
                        <a:xfrm>
                          <a:off x="0" y="0"/>
                          <a:ext cx="2943720" cy="6890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7FA8E753" wp14:editId="0DBF464E">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wps:txbx>
                      <wps:bodyPr lIns="0" tIns="0" rIns="0" bIns="0">
                        <a:noAutofit/>
                      </wps:bodyPr>
                    </wps:wsp>
                  </a:graphicData>
                </a:graphic>
              </wp:inline>
            </w:drawing>
          </mc:Choice>
          <mc:Fallback>
            <w:pict>
              <v:rect id="shape_0" stroked="f" style="position:absolute;margin-left:0pt;margin-top:-54.3pt;width:231.75pt;height:54.2pt;mso-position-vertical:top" wp14:anchorId="04549A59">
                <w10:wrap type="square"/>
                <v:fill o:detectmouseclick="t" on="false"/>
                <v:stroke color="#3465a4" joinstyle="round" endcap="flat"/>
                <v:textbox>
                  <w:txbxContent>
                    <w:p>
                      <w:pPr>
                        <w:pStyle w:val="Figure"/>
                        <w:spacing w:before="120" w:after="120"/>
                        <w:rPr/>
                      </w:pPr>
                      <w:r>
                        <w:rPr/>
                        <w:drawing>
                          <wp:inline distT="0" distB="0" distL="0" distR="0">
                            <wp:extent cx="2942590" cy="44513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v:textbox>
              </v:rect>
            </w:pict>
          </mc:Fallback>
        </mc:AlternateContent>
      </w:r>
    </w:p>
    <w:p w:rsidR="004564FD" w:rsidRDefault="0061418B">
      <w:pPr>
        <w:spacing w:before="240" w:after="240" w:line="240" w:lineRule="auto"/>
        <w:ind w:right="7"/>
        <w:jc w:val="both"/>
      </w:pPr>
      <w:r>
        <w:rPr>
          <w:noProof/>
          <w:lang w:val="en-US" w:eastAsia="en-US" w:bidi="ar-SA"/>
        </w:rPr>
        <mc:AlternateContent>
          <mc:Choice Requires="wps">
            <w:drawing>
              <wp:inline distT="0" distB="0" distL="0" distR="0" wp14:anchorId="25EE40EF" wp14:editId="403DC86C">
                <wp:extent cx="2941320" cy="617220"/>
                <wp:effectExtent l="0" t="0" r="0" b="0"/>
                <wp:docPr id="5" name="Rectangle 5"/>
                <wp:cNvGraphicFramePr/>
                <a:graphic xmlns:a="http://schemas.openxmlformats.org/drawingml/2006/main">
                  <a:graphicData uri="http://schemas.microsoft.com/office/word/2010/wordprocessingShape">
                    <wps:wsp>
                      <wps:cNvSpPr/>
                      <wps:spPr>
                        <a:xfrm>
                          <a:off x="0" y="0"/>
                          <a:ext cx="2940840" cy="6166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wps:txbx>
                      <wps:bodyPr lIns="0" tIns="0" rIns="0" bIns="0">
                        <a:noAutofit/>
                      </wps:bodyPr>
                    </wps:wsp>
                  </a:graphicData>
                </a:graphic>
              </wp:inline>
            </w:drawing>
          </mc:Choice>
          <mc:Fallback>
            <w:pict>
              <v:rect id="Rectangle 5" o:spid="_x0000_s1027" style="width:231.6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" filled="f" stroked="f">
                <v:textbox inset="0,0,0,0">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v:textbox>
                <w10:anchorlock/>
              </v:rect>
            </w:pict>
          </mc:Fallback>
        </mc:AlternateContent>
      </w:r>
      <w:r>
        <w:rPr>
          <w:noProof/>
          <w:lang w:val="en-US" w:eastAsia="en-US" w:bidi="ar-SA"/>
        </w:rPr>
        <mc:AlternateContent>
          <mc:Choice Requires="wps">
            <w:drawing>
              <wp:inline distT="0" distB="0" distL="0" distR="0" wp14:anchorId="1D3EA889" wp14:editId="07D44652">
                <wp:extent cx="2941320" cy="695960"/>
                <wp:effectExtent l="0" t="0" r="0" b="0"/>
                <wp:docPr id="9" name="Rectangle 9"/>
                <wp:cNvGraphicFramePr/>
                <a:graphic xmlns:a="http://schemas.openxmlformats.org/drawingml/2006/main">
                  <a:graphicData uri="http://schemas.microsoft.com/office/word/2010/wordprocessingShape">
                    <wps:wsp>
                      <wps:cNvSpPr/>
                      <wps:spPr>
                        <a:xfrm>
                          <a:off x="0" y="0"/>
                          <a:ext cx="2940840" cy="6951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41EF17A" wp14:editId="1222C378">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wps:txbx>
                      <wps:bodyPr lIns="0" tIns="0" rIns="0" bIns="0">
                        <a:noAutofit/>
                      </wps:bodyPr>
                    </wps:wsp>
                  </a:graphicData>
                </a:graphic>
              </wp:inline>
            </w:drawing>
          </mc:Choice>
          <mc:Fallback>
            <w:pict>
              <v:rect id="shape_0" stroked="f" style="position:absolute;margin-left:0pt;margin-top:-54.8pt;width:231.5pt;height:54.7pt;mso-position-vertical:top" wp14:anchorId="2F971423">
                <w10:wrap type="square"/>
                <v:fill o:detectmouseclick="t" on="false"/>
                <v:stroke color="#3465a4" joinstyle="round" endcap="flat"/>
                <v:textbox>
                  <w:txbxContent>
                    <w:p>
                      <w:pPr>
                        <w:pStyle w:val="Figure"/>
                        <w:spacing w:before="120" w:after="120"/>
                        <w:rPr/>
                      </w:pPr>
                      <w:r>
                        <w:rPr/>
                        <w:drawing>
                          <wp:inline distT="0" distB="0" distL="0" distR="0">
                            <wp:extent cx="2939415" cy="41084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v:textbox>
              </v:rect>
            </w:pict>
          </mc:Fallback>
        </mc:AlternateContent>
      </w:r>
    </w:p>
    <w:p w:rsidR="004564FD" w:rsidRDefault="0061418B">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effets comme «</w:t>
      </w:r>
      <w:bookmarkStart w:id="1" w:name="__DdeLink__298_3605133747"/>
      <w:bookmarkEnd w:id="1"/>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rsidR="004564FD" w:rsidRDefault="004564FD">
      <w:pPr>
        <w:spacing w:before="240" w:after="240" w:line="240" w:lineRule="auto"/>
        <w:jc w:val="both"/>
      </w:pPr>
    </w:p>
    <w:p w:rsidR="004564FD" w:rsidRDefault="004564FD">
      <w:pPr>
        <w:sectPr w:rsidR="004564FD">
          <w:headerReference w:type="default" r:id="rId14"/>
          <w:pgSz w:w="11906" w:h="16838"/>
          <w:pgMar w:top="1440" w:right="1132" w:bottom="1440" w:left="1133" w:header="720" w:footer="0" w:gutter="0"/>
          <w:cols w:num="2" w:space="298"/>
          <w:formProt w:val="0"/>
          <w:docGrid w:linePitch="600" w:charSpace="36864"/>
        </w:sectPr>
      </w:pPr>
    </w:p>
    <w:p w:rsidR="004564FD" w:rsidRDefault="0061418B">
      <w:pPr>
        <w:spacing w:before="240" w:after="240" w:line="240" w:lineRule="auto"/>
        <w:jc w:val="both"/>
      </w:pPr>
      <w:r>
        <w:rPr>
          <w:noProof/>
          <w:lang w:val="en-US" w:eastAsia="en-US" w:bidi="ar-SA"/>
        </w:rPr>
        <w:lastRenderedPageBreak/>
        <mc:AlternateContent>
          <mc:Choice Requires="wps">
            <w:drawing>
              <wp:inline distT="0" distB="0" distL="0" distR="0" wp14:anchorId="3D0E53C1" wp14:editId="69AFEEF9">
                <wp:extent cx="2569210" cy="1835785"/>
                <wp:effectExtent l="0" t="0" r="0" b="0"/>
                <wp:docPr id="13" name="Rectangle 13"/>
                <wp:cNvGraphicFramePr/>
                <a:graphic xmlns:a="http://schemas.openxmlformats.org/drawingml/2006/main">
                  <a:graphicData uri="http://schemas.microsoft.com/office/word/2010/wordprocessingShape">
                    <wps:wsp>
                      <wps:cNvSpPr/>
                      <wps:spPr>
                        <a:xfrm>
                          <a:off x="0" y="0"/>
                          <a:ext cx="2568600" cy="18352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A73317E" wp14:editId="403E8FCE">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5"/>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wps:txbx>
                      <wps:bodyPr lIns="0" tIns="0" rIns="0" bIns="0">
                        <a:noAutofit/>
                      </wps:bodyPr>
                    </wps:wsp>
                  </a:graphicData>
                </a:graphic>
              </wp:inline>
            </w:drawing>
          </mc:Choice>
          <mc:Fallback>
            <w:pict>
              <v:rect id="shape_0" stroked="f" style="position:absolute;margin-left:0pt;margin-top:-144.55pt;width:202.2pt;height:144.45pt;mso-position-vertical:top" wp14:anchorId="731D8B76">
                <w10:wrap type="square"/>
                <v:fill o:detectmouseclick="t" on="false"/>
                <v:stroke color="#3465a4" joinstyle="round" endcap="flat"/>
                <v:textbox>
                  <w:txbxContent>
                    <w:p>
                      <w:pPr>
                        <w:pStyle w:val="Figure"/>
                        <w:spacing w:before="120" w:after="120"/>
                        <w:rPr/>
                      </w:pPr>
                      <w:r>
                        <w:rPr/>
                        <w:drawing>
                          <wp:inline distT="0" distB="0" distL="0" distR="0">
                            <wp:extent cx="2567305" cy="1591310"/>
                            <wp:effectExtent l="0" t="0" r="0" b="0"/>
                            <wp:docPr id="1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descr=""/>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v:textbox>
              </v:rect>
            </w:pict>
          </mc:Fallback>
        </mc:AlternateContent>
      </w:r>
    </w:p>
    <w:p w:rsidR="004564FD" w:rsidRDefault="004564FD">
      <w:pPr>
        <w:spacing w:before="240" w:after="240" w:line="240" w:lineRule="auto"/>
        <w:jc w:val="both"/>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rsidR="004564FD" w:rsidRDefault="0061418B">
      <w:pPr>
        <w:spacing w:before="240" w:after="240" w:line="240" w:lineRule="auto"/>
        <w:jc w:val="both"/>
      </w:pPr>
      <w:r>
        <w:rPr>
          <w:rFonts w:ascii="Tahoma" w:eastAsia="Tahoma" w:hAnsi="Tahoma" w:cs="Tahoma"/>
        </w:rPr>
        <w:t>Les Français sont largement conscients et préoccupés par le changement climatique. Pourtant,</w:t>
      </w:r>
      <w:r w:rsidR="00611D91">
        <w:rPr>
          <w:rFonts w:ascii="Tahoma" w:eastAsia="Tahoma" w:hAnsi="Tahoma" w:cs="Tahoma"/>
        </w:rPr>
        <w:t xml:space="preserve"> ils soutiennent le mouvement des Gilets jaunes, qui a conduit à</w:t>
      </w:r>
      <w:r>
        <w:rPr>
          <w:rFonts w:ascii="Tahoma" w:eastAsia="Tahoma" w:hAnsi="Tahoma" w:cs="Tahoma"/>
        </w:rPr>
        <w:t xml:space="preserve"> l’annulation de la hausse de la taxe carbone. Pour comprendre l’opposition des Français à la taxe carbone, nous avons soumis aux répondants une proposition de politique plus équitable : une taxe carbone dont les recettes seraient reversées de manière égale à tous les adultes. 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rsidR="004564FD" w:rsidRDefault="0061418B">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xml:space="preserve">. Nous détaillons aux répondants les hausses de prix impliquées par cette taxe : +13% sur le gaz, +15% sur le fioul domestique, +0,11€/L sur l’essence et +0,13€/L sur le diesel. Grâce aux calculs effectués par micro-simulation à partir des données de consommation tirées des enquêtes </w:t>
      </w:r>
      <w:r>
        <w:rPr>
          <w:rFonts w:ascii="Tahoma" w:eastAsia="Tahoma" w:hAnsi="Tahoma" w:cs="Tahoma"/>
        </w:rPr>
        <w:lastRenderedPageBreak/>
        <w:t>de l’Insee</w:t>
      </w:r>
      <w:r>
        <w:rPr>
          <w:rFonts w:ascii="Calibri" w:eastAsia="Calibri" w:hAnsi="Calibri" w:cs="Calibri"/>
          <w:color w:val="00000A"/>
        </w:rPr>
        <w:t>[3]</w:t>
      </w:r>
      <w:r>
        <w:rPr>
          <w:rFonts w:ascii="Tahoma" w:eastAsia="Tahoma" w:hAnsi="Tahoma" w:cs="Tahoma"/>
        </w:rPr>
        <w:t>, nous calculons ensuite le revenu généré par cette taxe. Nous spécifions ainsi aux répondants que chaque ménage Français recevrait un transfert de 110€ par adulte par an</w:t>
      </w:r>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rsidR="004564FD" w:rsidRDefault="0061418B">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rsidR="004564FD" w:rsidRDefault="0061418B">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89% d’entre eux anticipent des pertes nettes </w:t>
      </w:r>
      <w:r>
        <w:rPr>
          <w:rFonts w:ascii="Tahoma" w:eastAsia="Tahoma" w:hAnsi="Tahoma" w:cs="Tahoma"/>
        </w:rPr>
        <w:lastRenderedPageBreak/>
        <w:t xml:space="preserve">plus élevées que notre estimation. En outre, 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rsidR="004564FD" w:rsidRDefault="0061418B">
      <w:pPr>
        <w:spacing w:before="240" w:after="240" w:line="240" w:lineRule="auto"/>
        <w:jc w:val="both"/>
      </w:pPr>
      <w:r>
        <w:rPr>
          <w:rFonts w:ascii="Tahoma" w:eastAsia="Tahoma" w:hAnsi="Tahoma" w:cs="Tahoma"/>
        </w:rPr>
        <w:t>Au-delà des conséquences sur le pouvoir d’achat, nos résultats montrent également que seuls 17% perçoivent la mesure comme efficace pour réduire la pollution et lutter contre le changement climatique (66% inefficace, 18% NSP), et que seulement 19% d’entre eux pensent qu’elle avantagerait les plus modestes (60% la pensent régressive, 21% NSP). L’impopularité de la réforme pourrait ainsi s’expliquer par des croyances erronées quant à ses effets.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rsidR="004564FD" w:rsidRDefault="0061418B">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rsidR="004564FD" w:rsidRDefault="0061418B">
      <w:pPr>
        <w:spacing w:before="240" w:after="240" w:line="240" w:lineRule="auto"/>
        <w:jc w:val="both"/>
      </w:pPr>
      <w:r>
        <w:rPr>
          <w:rFonts w:ascii="Tahoma" w:eastAsia="Tahoma" w:hAnsi="Tahoma" w:cs="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ascii="Calibri" w:eastAsia="Calibri" w:hAnsi="Calibri" w:cs="Calibri"/>
          <w:color w:val="00000A"/>
        </w:rPr>
        <w:t>[5]</w: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Le premier constat est que l’information est prise en compte de façon très asymétrique. Les répondants pensant initialement être gagnants </w:t>
      </w:r>
      <w:r>
        <w:rPr>
          <w:rFonts w:ascii="Tahoma" w:eastAsia="Tahoma" w:hAnsi="Tahoma" w:cs="Tahoma"/>
        </w:rPr>
        <w:lastRenderedPageBreak/>
        <w:t>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rsidR="004564FD" w:rsidRDefault="0061418B">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ascii="Tahoma" w:eastAsia="Tahoma" w:hAnsi="Tahoma" w:cs="Tahoma"/>
          <w:i/>
        </w:rPr>
        <w:t>motivated reasoning</w:t>
      </w:r>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lastRenderedPageBreak/>
        <w:t>moins</w:t>
      </w:r>
      <w:r>
        <w:rPr>
          <w:rFonts w:ascii="Tahoma" w:eastAsia="Tahoma" w:hAnsi="Tahoma" w:cs="Tahoma"/>
        </w:rPr>
        <w:t xml:space="preserve"> enclines à déclarer la politique progressive une fois cette information reçue</w:t>
      </w:r>
      <w:r>
        <w:rPr>
          <w:rFonts w:ascii="Calibri" w:eastAsia="Calibri" w:hAnsi="Calibri" w:cs="Calibri"/>
          <w:color w:val="00000A"/>
        </w:rPr>
        <w:t>[6]</w:t>
      </w:r>
      <w:r>
        <w:rPr>
          <w:rFonts w:ascii="Tahoma" w:eastAsia="Tahoma" w:hAnsi="Tahoma" w:cs="Tahoma"/>
        </w:rPr>
        <w: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rsidR="004564FD" w:rsidRDefault="0061418B">
      <w:pPr>
        <w:spacing w:before="240" w:after="240" w:line="240" w:lineRule="auto"/>
        <w:jc w:val="both"/>
      </w:pPr>
      <w:r>
        <w:rPr>
          <w:rFonts w:ascii="Tahoma" w:eastAsia="Tahoma" w:hAnsi="Tahoma" w:cs="Tahoma"/>
        </w:rPr>
        <w:t>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de ces déterminants sur l’approbation. Nous trouvons que s’estimer gagnant suite à la réforme augmente la probabilité de l’accepter de 40 points de pourcentages (p.p.). L’effet est similaire pour la croyance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pPr>
      <w:r>
        <w:rPr>
          <w:rFonts w:ascii="Tahoma" w:eastAsia="Tahoma" w:hAnsi="Tahoma" w:cs="Tahoma"/>
          <w:b/>
          <w:color w:val="0070C0"/>
        </w:rPr>
        <w:t>Aux origines de la méfiance : des problèmes structurels</w:t>
      </w:r>
    </w:p>
    <w:p w:rsidR="004564FD" w:rsidRDefault="0061418B">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rsidR="004564FD" w:rsidRDefault="0061418B">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ceux de la classe moyenne. En réalité, les ménages modestes et la classe moyenne seraient en majorité gagnants grâce au </w:t>
      </w:r>
      <w:r>
        <w:rPr>
          <w:rFonts w:ascii="Tahoma" w:eastAsia="Tahoma" w:hAnsi="Tahoma" w:cs="Tahoma"/>
        </w:rPr>
        <w:lastRenderedPageBreak/>
        <w:t xml:space="preserve">mécanisme proposé. Toutefois, des études (Bureau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rsidR="004564FD" w:rsidRDefault="0061418B">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7A7646CE" wp14:editId="26873836">
                <wp:extent cx="2759710" cy="1727200"/>
                <wp:effectExtent l="0" t="0" r="0" b="0"/>
                <wp:docPr id="17" name="Rectangle 17"/>
                <wp:cNvGraphicFramePr/>
                <a:graphic xmlns:a="http://schemas.openxmlformats.org/drawingml/2006/main">
                  <a:graphicData uri="http://schemas.microsoft.com/office/word/2010/wordprocessingShape">
                    <wps:wsp>
                      <wps:cNvSpPr/>
                      <wps:spPr>
                        <a:xfrm>
                          <a:off x="0" y="0"/>
                          <a:ext cx="2759040" cy="17265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1D8C8E56" wp14:editId="343D385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7"/>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wps:txbx>
                      <wps:bodyPr lIns="0" tIns="0" rIns="0" bIns="0">
                        <a:noAutofit/>
                      </wps:bodyPr>
                    </wps:wsp>
                  </a:graphicData>
                </a:graphic>
              </wp:inline>
            </w:drawing>
          </mc:Choice>
          <mc:Fallback>
            <w:pict>
              <v:rect id="shape_0" stroked="f" style="position:absolute;margin-left:0pt;margin-top:-136pt;width:217.2pt;height:135.9pt;mso-position-vertical:top" wp14:anchorId="6AD4F0B7">
                <w10:wrap type="square"/>
                <v:fill o:detectmouseclick="t" on="false"/>
                <v:stroke color="#3465a4" joinstyle="round" endcap="flat"/>
                <v:textbox>
                  <w:txbxContent>
                    <w:p>
                      <w:pPr>
                        <w:pStyle w:val="Figure"/>
                        <w:spacing w:before="120" w:after="120"/>
                        <w:rPr/>
                      </w:pPr>
                      <w:r>
                        <w:rPr/>
                        <w:drawing>
                          <wp:inline distT="0" distB="0" distL="0" distR="0">
                            <wp:extent cx="2757805" cy="1482725"/>
                            <wp:effectExtent l="0" t="0" r="0" b="0"/>
                            <wp:docPr id="2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v:textbox>
              </v:rect>
            </w:pict>
          </mc:Fallback>
        </mc:AlternateContent>
      </w:r>
      <w:r>
        <w:rPr>
          <w:noProof/>
          <w:lang w:val="en-US" w:eastAsia="en-US" w:bidi="ar-SA"/>
        </w:rPr>
        <mc:AlternateContent>
          <mc:Choice Requires="wps">
            <w:drawing>
              <wp:inline distT="0" distB="0" distL="0" distR="0" wp14:anchorId="2C842E55" wp14:editId="65F24DFD">
                <wp:extent cx="2758440" cy="1725295"/>
                <wp:effectExtent l="0" t="0" r="0" b="0"/>
                <wp:docPr id="21" name="Rectangle 21"/>
                <wp:cNvGraphicFramePr/>
                <a:graphic xmlns:a="http://schemas.openxmlformats.org/drawingml/2006/main">
                  <a:graphicData uri="http://schemas.microsoft.com/office/word/2010/wordprocessingShape">
                    <wps:wsp>
                      <wps:cNvSpPr/>
                      <wps:spPr>
                        <a:xfrm>
                          <a:off x="0" y="0"/>
                          <a:ext cx="2757960" cy="17247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212B6AA0" wp14:editId="19A63F1D">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9"/>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wps:txbx>
                      <wps:bodyPr lIns="0" tIns="0" rIns="0" bIns="0">
                        <a:noAutofit/>
                      </wps:bodyPr>
                    </wps:wsp>
                  </a:graphicData>
                </a:graphic>
              </wp:inline>
            </w:drawing>
          </mc:Choice>
          <mc:Fallback>
            <w:pict>
              <v:rect id="shape_0" stroked="f" style="position:absolute;margin-left:0pt;margin-top:-135.85pt;width:217.1pt;height:135.75pt;mso-position-vertical:top" wp14:anchorId="1AC3CADA">
                <w10:wrap type="square"/>
                <v:fill o:detectmouseclick="t" on="false"/>
                <v:stroke color="#3465a4" joinstyle="round" endcap="flat"/>
                <v:textbox>
                  <w:txbxContent>
                    <w:p>
                      <w:pPr>
                        <w:pStyle w:val="Figure"/>
                        <w:spacing w:before="120" w:after="120"/>
                        <w:rPr/>
                      </w:pPr>
                      <w:r>
                        <w:rPr/>
                        <w:drawing>
                          <wp:inline distT="0" distB="0" distL="0" distR="0">
                            <wp:extent cx="2756535" cy="1480820"/>
                            <wp:effectExtent l="0" t="0" r="0" b="0"/>
                            <wp:docPr id="2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descr=""/>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v:textbox>
              </v:rect>
            </w:pict>
          </mc:Fallback>
        </mc:AlternateConten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Même si les trois quarts des Français vivent à moins de 15 minutes de marche d’un arrêt de transports en commun, une majorité d’entre eux juge l’offre de transports en commun insuffisante, en particulier en zone rurale et dans les petites villes, à cause d’une fréquence trop faible ou d’une desserte inadéquate. Sur les 65% de répondants qui se rendent en voiture à leur travail, 58% affirment ne pas pouvoir s’y rendre en transports en commun, à pied ou à vélo, et seuls 15% pourraient utiliser un de ces modes de transport alternatif « sans grande difficulté ». Le caractère incontournable </w:t>
      </w:r>
      <w:r>
        <w:rPr>
          <w:rFonts w:ascii="Tahoma" w:eastAsia="Tahoma" w:hAnsi="Tahoma" w:cs="Tahoma"/>
        </w:rPr>
        <w:lastRenderedPageBreak/>
        <w:t xml:space="preserve">de la voiture individuelle semble être une limite majeure aux mesures purement incitatives, même si le fait que </w:t>
      </w:r>
      <w:hyperlink r:id="rId21">
        <w:r>
          <w:rPr>
            <w:rStyle w:val="ListLabel1"/>
          </w:rPr>
          <w:t>62% des trajets</w:t>
        </w:r>
      </w:hyperlink>
      <w:r>
        <w:rPr>
          <w:rFonts w:ascii="Tahoma" w:eastAsia="Tahoma" w:hAnsi="Tahoma" w:cs="Tahoma"/>
        </w:rPr>
        <w:t xml:space="preserve"> de 1 ou 2 km soient effectués en voiture laisse penser que les habitudes peuvent encore être bousculées. Dans cette situation, « investissements publics verts et taxe carbone apparaissent bien complémentaires, et dans le timing de la politique climatique il serait justifié de réaliser les premiers avant de mettre en place la seconde » (Bureau et al, 2019).</w:t>
      </w:r>
    </w:p>
    <w:p w:rsidR="004564FD" w:rsidRDefault="0061418B">
      <w:pPr>
        <w:spacing w:before="240" w:after="240" w:line="240" w:lineRule="auto"/>
        <w:jc w:val="both"/>
      </w:pPr>
      <w:r>
        <w:rPr>
          <w:noProof/>
          <w:lang w:val="en-US" w:eastAsia="en-US" w:bidi="ar-SA"/>
        </w:rPr>
        <mc:AlternateContent>
          <mc:Choice Requires="wps">
            <w:drawing>
              <wp:anchor distT="0" distB="0" distL="0" distR="0" simplePos="0" relativeHeight="2" behindDoc="0" locked="0" layoutInCell="1" allowOverlap="1" wp14:anchorId="6186A544" wp14:editId="057F18D8">
                <wp:simplePos x="0" y="0"/>
                <wp:positionH relativeFrom="column">
                  <wp:posOffset>0</wp:posOffset>
                </wp:positionH>
                <wp:positionV relativeFrom="paragraph">
                  <wp:posOffset>3558540</wp:posOffset>
                </wp:positionV>
                <wp:extent cx="2771775" cy="328930"/>
                <wp:effectExtent l="0" t="0" r="0" b="0"/>
                <wp:wrapNone/>
                <wp:docPr id="25" name="Frame7"/>
                <wp:cNvGraphicFramePr/>
                <a:graphic xmlns:a="http://schemas.openxmlformats.org/drawingml/2006/main">
                  <a:graphicData uri="http://schemas.microsoft.com/office/word/2010/wordprocessingShape">
                    <wps:wsp>
                      <wps:cNvSpPr/>
                      <wps:spPr>
                        <a:xfrm>
                          <a:off x="0" y="0"/>
                          <a:ext cx="2771280" cy="3283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vanish/>
                              </w:rPr>
                              <w:br/>
                            </w:r>
                          </w:p>
                        </w:txbxContent>
                      </wps:txbx>
                      <wps:bodyPr lIns="0" tIns="0" rIns="0" bIns="0">
                        <a:noAutofit/>
                      </wps:bodyPr>
                    </wps:wsp>
                  </a:graphicData>
                </a:graphic>
              </wp:anchor>
            </w:drawing>
          </mc:Choice>
          <mc:Fallback>
            <w:pict>
              <v:rect id="shape_0" ID="Frame7" stroked="f" style="position:absolute;margin-left:0pt;margin-top:280.2pt;width:218.15pt;height:25.8pt" wp14:anchorId="7B94021C">
                <w10:wrap type="square"/>
                <v:fill o:detectmouseclick="t" on="false"/>
                <v:stroke color="#3465a4" joinstyle="round" endcap="flat"/>
                <v:textbox>
                  <w:txbxContent>
                    <w:p>
                      <w:pPr>
                        <w:pStyle w:val="Figure"/>
                        <w:spacing w:before="120" w:after="120"/>
                        <w:rPr/>
                      </w:pPr>
                      <w:r>
                        <w:rPr>
                          <w:vanish/>
                          <w:color w:val="auto"/>
                        </w:rPr>
                        <w:br/>
                      </w:r>
                    </w:p>
                  </w:txbxContent>
                </v:textbox>
              </v:rect>
            </w:pict>
          </mc:Fallback>
        </mc:AlternateContent>
      </w:r>
      <w:r>
        <w:rPr>
          <w:noProof/>
          <w:lang w:val="en-US" w:eastAsia="en-US" w:bidi="ar-SA"/>
        </w:rPr>
        <mc:AlternateContent>
          <mc:Choice Requires="wps">
            <w:drawing>
              <wp:anchor distT="0" distB="0" distL="0" distR="0" simplePos="0" relativeHeight="3" behindDoc="0" locked="0" layoutInCell="1" allowOverlap="1" wp14:anchorId="77E8C299" wp14:editId="377E6743">
                <wp:simplePos x="0" y="0"/>
                <wp:positionH relativeFrom="column">
                  <wp:posOffset>-635</wp:posOffset>
                </wp:positionH>
                <wp:positionV relativeFrom="paragraph">
                  <wp:posOffset>152400</wp:posOffset>
                </wp:positionV>
                <wp:extent cx="2833370" cy="389255"/>
                <wp:effectExtent l="0" t="0" r="0" b="0"/>
                <wp:wrapNone/>
                <wp:docPr id="27" name="Frame8"/>
                <wp:cNvGraphicFramePr/>
                <a:graphic xmlns:a="http://schemas.openxmlformats.org/drawingml/2006/main">
                  <a:graphicData uri="http://schemas.microsoft.com/office/word/2010/wordprocessingShape">
                    <wps:wsp>
                      <wps:cNvSpPr/>
                      <wps:spPr>
                        <a:xfrm>
                          <a:off x="0" y="0"/>
                          <a:ext cx="2832840" cy="38880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4564FD">
                            <w:pPr>
                              <w:pStyle w:val="Figure"/>
                              <w:rPr>
                                <w:color w:val="000000"/>
                              </w:rPr>
                            </w:pPr>
                          </w:p>
                        </w:txbxContent>
                      </wps:txbx>
                      <wps:bodyPr lIns="0" tIns="0" rIns="0" bIns="0">
                        <a:noAutofit/>
                      </wps:bodyPr>
                    </wps:wsp>
                  </a:graphicData>
                </a:graphic>
              </wp:anchor>
            </w:drawing>
          </mc:Choice>
          <mc:Fallback>
            <w:pict>
              <v:rect id="shape_0" ID="Frame8" stroked="f" style="position:absolute;margin-left:-0.05pt;margin-top:12pt;width:223pt;height:30.55pt" wp14:anchorId="49F43F59">
                <w10:wrap type="none"/>
                <v:fill o:detectmouseclick="t" on="false"/>
                <v:stroke color="#3465a4" joinstyle="round" endcap="flat"/>
                <v:textbox>
                  <w:txbxContent>
                    <w:p>
                      <w:pPr>
                        <w:pStyle w:val="Figure"/>
                        <w:spacing w:before="120" w:after="120"/>
                        <w:rPr>
                          <w:color w:val="000000"/>
                        </w:rPr>
                      </w:pPr>
                      <w:r>
                        <w:rPr>
                          <w:color w:val="000000"/>
                        </w:rPr>
                      </w:r>
                    </w:p>
                  </w:txbxContent>
                </v:textbox>
              </v:rect>
            </w:pict>
          </mc:Fallback>
        </mc:AlternateContent>
      </w:r>
      <w:r>
        <w:rPr>
          <w:noProof/>
          <w:lang w:val="en-US" w:eastAsia="en-US" w:bidi="ar-SA"/>
        </w:rPr>
        <mc:AlternateContent>
          <mc:Choice Requires="wps">
            <w:drawing>
              <wp:inline distT="0" distB="0" distL="0" distR="0" wp14:anchorId="074C3C9A" wp14:editId="12BD8975">
                <wp:extent cx="2832735" cy="1907540"/>
                <wp:effectExtent l="0" t="0" r="0" b="0"/>
                <wp:docPr id="29" name="Rectangle 29"/>
                <wp:cNvGraphicFramePr/>
                <a:graphic xmlns:a="http://schemas.openxmlformats.org/drawingml/2006/main">
                  <a:graphicData uri="http://schemas.microsoft.com/office/word/2010/wordprocessingShape">
                    <wps:wsp>
                      <wps:cNvSpPr/>
                      <wps:spPr>
                        <a:xfrm>
                          <a:off x="0" y="0"/>
                          <a:ext cx="2832120" cy="19069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FD40C65" wp14:editId="14EC5E14">
                                  <wp:extent cx="2831465" cy="166370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pic:cNvPicPr>
                                            <a:picLocks noChangeAspect="1" noChangeArrowheads="1"/>
                                          </pic:cNvPicPr>
                                        </pic:nvPicPr>
                                        <pic:blipFill>
                                          <a:blip r:embed="rId22"/>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lIns="0" tIns="0" rIns="0" bIns="0">
                        <a:noAutofit/>
                      </wps:bodyPr>
                    </wps:wsp>
                  </a:graphicData>
                </a:graphic>
              </wp:inline>
            </w:drawing>
          </mc:Choice>
          <mc:Fallback>
            <w:pict>
              <v:rect id="shape_0" stroked="f" style="position:absolute;margin-left:0pt;margin-top:-150.2pt;width:222.95pt;height:150.1pt;mso-position-vertical:top" wp14:anchorId="394A6451">
                <w10:wrap type="square"/>
                <v:fill o:detectmouseclick="t" on="false"/>
                <v:stroke color="#3465a4" joinstyle="round" endcap="flat"/>
                <v:textbox>
                  <w:txbxContent>
                    <w:p>
                      <w:pPr>
                        <w:pStyle w:val="Figure"/>
                        <w:spacing w:before="120" w:after="120"/>
                        <w:rPr/>
                      </w:pPr>
                      <w:r>
                        <w:rPr/>
                        <w:drawing>
                          <wp:inline distT="0" distB="0" distL="0" distR="0">
                            <wp:extent cx="2831465" cy="1663700"/>
                            <wp:effectExtent l="0" t="0" r="0" b="0"/>
                            <wp:docPr id="3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descr=""/>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color w:val="auto"/>
                          <w:sz w:val="16"/>
                          <w:szCs w:val="16"/>
                        </w:rPr>
                        <w:t>: Quelles catégories gagneraient avec cette mesure ?</w:t>
                      </w:r>
                    </w:p>
                  </w:txbxContent>
                </v:textbox>
              </v:rect>
            </w:pict>
          </mc:Fallback>
        </mc:AlternateContent>
      </w:r>
      <w:r>
        <w:rPr>
          <w:noProof/>
          <w:lang w:val="en-US" w:eastAsia="en-US" w:bidi="ar-SA"/>
        </w:rPr>
        <mc:AlternateContent>
          <mc:Choice Requires="wps">
            <w:drawing>
              <wp:inline distT="0" distB="0" distL="0" distR="0" wp14:anchorId="0C4F191C" wp14:editId="51830536">
                <wp:extent cx="2771140" cy="1896745"/>
                <wp:effectExtent l="0" t="0" r="0" b="0"/>
                <wp:docPr id="33" name="Rectangle 33"/>
                <wp:cNvGraphicFramePr/>
                <a:graphic xmlns:a="http://schemas.openxmlformats.org/drawingml/2006/main">
                  <a:graphicData uri="http://schemas.microsoft.com/office/word/2010/wordprocessingShape">
                    <wps:wsp>
                      <wps:cNvSpPr/>
                      <wps:spPr>
                        <a:xfrm>
                          <a:off x="0" y="0"/>
                          <a:ext cx="2770560" cy="18961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01C6543" wp14:editId="4C658F09">
                                  <wp:extent cx="2769870" cy="1652905"/>
                                  <wp:effectExtent l="0" t="0" r="0" b="0"/>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noChangeArrowheads="1"/>
                                          </pic:cNvPicPr>
                                        </pic:nvPicPr>
                                        <pic:blipFill>
                                          <a:blip r:embed="rId24"/>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oAutofit/>
                      </wps:bodyPr>
                    </wps:wsp>
                  </a:graphicData>
                </a:graphic>
              </wp:inline>
            </w:drawing>
          </mc:Choice>
          <mc:Fallback>
            <w:pict>
              <v:rect id="shape_0" stroked="f" style="position:absolute;margin-left:0pt;margin-top:-149.35pt;width:218.1pt;height:149.25pt;mso-position-vertical:top" wp14:anchorId="28075CA4">
                <w10:wrap type="square"/>
                <v:fill o:detectmouseclick="t" on="false"/>
                <v:stroke color="#3465a4" joinstyle="round" endcap="flat"/>
                <v:textbox>
                  <w:txbxContent>
                    <w:p>
                      <w:pPr>
                        <w:pStyle w:val="Figure"/>
                        <w:spacing w:before="120" w:after="120"/>
                        <w:rPr/>
                      </w:pPr>
                      <w:r>
                        <w:rPr/>
                        <w:drawing>
                          <wp:inline distT="0" distB="0" distL="0" distR="0">
                            <wp:extent cx="2769870" cy="1652905"/>
                            <wp:effectExtent l="0" t="0" r="0" b="0"/>
                            <wp:docPr id="3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descr=""/>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color w:val="auto"/>
                          <w:sz w:val="16"/>
                          <w:szCs w:val="16"/>
                        </w:rPr>
                        <w:t>: Quelles catégories perdraient avec cette mesure ?</w:t>
                      </w:r>
                    </w:p>
                  </w:txbxContent>
                </v:textbox>
              </v:rect>
            </w:pict>
          </mc:Fallback>
        </mc:AlternateConten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rsidR="004564FD" w:rsidRDefault="0061418B">
      <w:pPr>
        <w:spacing w:before="240" w:after="240" w:line="240" w:lineRule="auto"/>
        <w:jc w:val="both"/>
      </w:pPr>
      <w:r>
        <w:rPr>
          <w:rFonts w:ascii="Tahoma" w:eastAsia="Tahoma" w:hAnsi="Tahoma" w:cs="Tahoma"/>
        </w:rPr>
        <w:t xml:space="preserve">Si on en croit leurs réponses, 65% des Français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w:t>
      </w:r>
      <w:r>
        <w:rPr>
          <w:rFonts w:ascii="Tahoma" w:eastAsia="Tahoma" w:hAnsi="Tahoma" w:cs="Tahoma"/>
        </w:rPr>
        <w:lastRenderedPageBreak/>
        <w:t>l’offre de transports non polluants ». Alors que 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rsidR="004564FD" w:rsidRDefault="0061418B">
      <w:pPr>
        <w:spacing w:before="240" w:after="240" w:line="240" w:lineRule="auto"/>
        <w:jc w:val="both"/>
      </w:pPr>
      <w:r>
        <w:rPr>
          <w:rFonts w:ascii="Tahoma" w:eastAsia="Tahoma" w:hAnsi="Tahoma" w:cs="Tahoma"/>
        </w:rPr>
        <w:t xml:space="preserve">Concernant les mesures soutenues, les Français préfèrent des normes et des régulations plutôt que des taxes (à l’exception d’une taxe sur le kérosène). Ainsi, le rattrapage de la fiscalité du diesel sur celle de l’essence est rejeté par 59% des répondants, avec un rejet très marqué des ruraux et des utilisateurs de véhicules diesels. Aussi, la Figure 9 montre que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Pr>
          <w:rFonts w:ascii="Tahoma" w:eastAsia="Tahoma" w:hAnsi="Tahoma" w:cs="Tahoma"/>
          <w:color w:val="00000A"/>
        </w:rPr>
        <w:t xml:space="preserve">Ce constat est cohérent avec d’autres études réalisées dans plusieurs autres pays européens[7]. </w:t>
      </w:r>
      <w:r>
        <w:rPr>
          <w:rFonts w:ascii="Tahoma" w:eastAsia="Tahoma" w:hAnsi="Tahoma" w:cs="Tahoma"/>
        </w:rPr>
        <w:t xml:space="preserve">De façon générale,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 </w:t>
      </w:r>
      <w:r>
        <w:rPr>
          <w:rFonts w:ascii="Tahoma" w:eastAsia="Tahoma" w:hAnsi="Tahoma" w:cs="Tahoma"/>
          <w:color w:val="00000A"/>
        </w:rPr>
        <w:t xml:space="preserve"> Enfin, nous observons une corrélation positive entre les connaissances sur le changement climatique, la préoccupation concernant ses </w:t>
      </w:r>
      <w:r>
        <w:rPr>
          <w:rFonts w:ascii="Tahoma" w:eastAsia="Tahoma" w:hAnsi="Tahoma" w:cs="Tahoma"/>
          <w:color w:val="00000A"/>
        </w:rPr>
        <w:lastRenderedPageBreak/>
        <w:t>effets, et le soutien aux politiques climatiques, suggérant qu’une campagne d’information sur le changement climatique rendrait plus acceptable des mesures écologiques.</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2A6BD1BE" wp14:editId="055A39CC">
                <wp:extent cx="2881630" cy="1897380"/>
                <wp:effectExtent l="0" t="0" r="0" b="0"/>
                <wp:docPr id="37" name="Rectangle 37"/>
                <wp:cNvGraphicFramePr/>
                <a:graphic xmlns:a="http://schemas.openxmlformats.org/drawingml/2006/main">
                  <a:graphicData uri="http://schemas.microsoft.com/office/word/2010/wordprocessingShape">
                    <wps:wsp>
                      <wps:cNvSpPr/>
                      <wps:spPr>
                        <a:xfrm>
                          <a:off x="0" y="0"/>
                          <a:ext cx="2881080" cy="18968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F2D64F2" wp14:editId="4B867EDD">
                                  <wp:extent cx="2880360" cy="165354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noChangeArrowheads="1"/>
                                          </pic:cNvPicPr>
                                        </pic:nvPicPr>
                                        <pic:blipFill>
                                          <a:blip r:embed="rId26"/>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wps:txbx>
                      <wps:bodyPr lIns="0" tIns="0" rIns="0" bIns="0">
                        <a:noAutofit/>
                      </wps:bodyPr>
                    </wps:wsp>
                  </a:graphicData>
                </a:graphic>
              </wp:inline>
            </w:drawing>
          </mc:Choice>
          <mc:Fallback>
            <w:pict>
              <v:rect id="shape_0" stroked="f" style="position:absolute;margin-left:0pt;margin-top:-149.4pt;width:226.8pt;height:149.3pt;mso-position-vertical:top" wp14:anchorId="502710DA">
                <w10:wrap type="square"/>
                <v:fill o:detectmouseclick="t" on="false"/>
                <v:stroke color="#3465a4" joinstyle="round" endcap="flat"/>
                <v:textbox>
                  <w:txbxContent>
                    <w:p>
                      <w:pPr>
                        <w:pStyle w:val="Figure"/>
                        <w:spacing w:before="120" w:after="120"/>
                        <w:rPr/>
                      </w:pPr>
                      <w:r>
                        <w:rPr/>
                        <w:drawing>
                          <wp:inline distT="0" distB="0" distL="0" distR="0">
                            <wp:extent cx="2880360" cy="1653540"/>
                            <wp:effectExtent l="0" t="0" r="0" b="0"/>
                            <wp:docPr id="4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descr=""/>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color w:val="auto"/>
                        </w:rPr>
                        <w:br/>
                      </w:r>
                      <w:r>
                        <w:rPr>
                          <w:color w:val="auto"/>
                          <w:sz w:val="16"/>
                          <w:szCs w:val="16"/>
                        </w:rPr>
                        <w:t>Figure 9: Seriez-vous favorable aux mesures suivantes ?</w:t>
                      </w:r>
                    </w:p>
                  </w:txbxContent>
                </v:textbox>
              </v:rect>
            </w:pict>
          </mc:Fallback>
        </mc:AlternateContent>
      </w:r>
      <w:r>
        <w:rPr>
          <w:noProof/>
          <w:lang w:val="en-US" w:eastAsia="en-US" w:bidi="ar-SA"/>
        </w:rPr>
        <mc:AlternateContent>
          <mc:Choice Requires="wps">
            <w:drawing>
              <wp:inline distT="0" distB="0" distL="0" distR="0" wp14:anchorId="7167FD6E" wp14:editId="3D725940">
                <wp:extent cx="2869565" cy="1910080"/>
                <wp:effectExtent l="0" t="0" r="0" b="0"/>
                <wp:docPr id="41" name="Rectangle 41"/>
                <wp:cNvGraphicFramePr/>
                <a:graphic xmlns:a="http://schemas.openxmlformats.org/drawingml/2006/main">
                  <a:graphicData uri="http://schemas.microsoft.com/office/word/2010/wordprocessingShape">
                    <wps:wsp>
                      <wps:cNvSpPr/>
                      <wps:spPr>
                        <a:xfrm>
                          <a:off x="0" y="0"/>
                          <a:ext cx="2868840" cy="19094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7EA0FDB" wp14:editId="196F24D8">
                                  <wp:extent cx="2868295" cy="1543050"/>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png"/>
                                          <pic:cNvPicPr>
                                            <a:picLocks noChangeAspect="1" noChangeArrowheads="1"/>
                                          </pic:cNvPicPr>
                                        </pic:nvPicPr>
                                        <pic:blipFill>
                                          <a:blip r:embed="rId2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Figure 10: Je serais favorable à la taxe carbone si les recettes étaient utilisées pour financer ...</w:t>
                            </w:r>
                          </w:p>
                        </w:txbxContent>
                      </wps:txbx>
                      <wps:bodyPr lIns="0" tIns="0" rIns="0" bIns="0">
                        <a:noAutofit/>
                      </wps:bodyPr>
                    </wps:wsp>
                  </a:graphicData>
                </a:graphic>
              </wp:inline>
            </w:drawing>
          </mc:Choice>
          <mc:Fallback>
            <w:pict>
              <v:rect id="shape_0" stroked="f" style="position:absolute;margin-left:0pt;margin-top:-150.4pt;width:225.85pt;height:150.3pt;mso-position-vertical:top" wp14:anchorId="04354AF7">
                <w10:wrap type="square"/>
                <v:fill o:detectmouseclick="t" on="false"/>
                <v:stroke color="#3465a4" joinstyle="round" endcap="flat"/>
                <v:textbox>
                  <w:txbxContent>
                    <w:p>
                      <w:pPr>
                        <w:pStyle w:val="Figure"/>
                        <w:spacing w:before="120" w:after="120"/>
                        <w:rPr/>
                      </w:pPr>
                      <w:r>
                        <w:rPr/>
                        <w:drawing>
                          <wp:inline distT="0" distB="0" distL="0" distR="0">
                            <wp:extent cx="2868295" cy="1543050"/>
                            <wp:effectExtent l="0" t="0" r="0" b="0"/>
                            <wp:docPr id="4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descr=""/>
                                    <pic:cNvPicPr>
                                      <a:picLocks noChangeAspect="1" noChangeArrowheads="1"/>
                                    </pic:cNvPicPr>
                                  </pic:nvPicPr>
                                  <pic:blipFill>
                                    <a:blip r:embed="rId29"/>
                                    <a:stretch>
                                      <a:fillRect/>
                                    </a:stretch>
                                  </pic:blipFill>
                                  <pic:spPr bwMode="auto">
                                    <a:xfrm>
                                      <a:off x="0" y="0"/>
                                      <a:ext cx="2868295" cy="1543050"/>
                                    </a:xfrm>
                                    <a:prstGeom prst="rect">
                                      <a:avLst/>
                                    </a:prstGeom>
                                  </pic:spPr>
                                </pic:pic>
                              </a:graphicData>
                            </a:graphic>
                          </wp:inline>
                        </w:drawing>
                      </w:r>
                      <w:r>
                        <w:rPr>
                          <w:vanish/>
                          <w:color w:val="auto"/>
                          <w:sz w:val="16"/>
                          <w:szCs w:val="16"/>
                        </w:rPr>
                        <w:br/>
                      </w:r>
                      <w:r>
                        <w:rPr>
                          <w:color w:val="auto"/>
                          <w:sz w:val="16"/>
                          <w:szCs w:val="16"/>
                        </w:rPr>
                        <w:t>Figure 10: Je serais favorable à la taxe carbone si les recettes étaient utilisées pour financer ...</w:t>
                      </w:r>
                    </w:p>
                  </w:txbxContent>
                </v:textbox>
              </v:rect>
            </w:pict>
          </mc:Fallback>
        </mc:AlternateConten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rsidR="004564FD" w:rsidRDefault="0061418B">
      <w:pPr>
        <w:spacing w:before="240" w:after="240" w:line="240" w:lineRule="auto"/>
        <w:jc w:val="both"/>
      </w:pPr>
      <w:r>
        <w:rPr>
          <w:rFonts w:ascii="Tahoma" w:eastAsia="Tahoma" w:hAnsi="Tahoma" w:cs="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 pour </w:t>
      </w:r>
      <w:r>
        <w:rPr>
          <w:rFonts w:ascii="Tahoma" w:eastAsia="Tahoma" w:hAnsi="Tahoma" w:cs="Tahoma"/>
        </w:rPr>
        <w:lastRenderedPageBreak/>
        <w:t>permettre un déploiement ultérieur de la fiscalité carbone, une taxe limitée au kérosène dont les recettes seraient reversées à chaque Français pourrait servir d’exemple convaincant en faveur des mesures incitatives, car la taxation du kérosène est largement approuvée.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rPr>
      </w:pPr>
      <w:r>
        <w:rPr>
          <w:rFonts w:ascii="Tahoma" w:eastAsia="Tahoma" w:hAnsi="Tahoma" w:cs="Tahoma"/>
          <w:b/>
        </w:rPr>
        <w:t>Références</w:t>
      </w:r>
    </w:p>
    <w:p w:rsidR="004564FD" w:rsidRDefault="0061418B">
      <w:pPr>
        <w:spacing w:before="240" w:after="240" w:line="240" w:lineRule="auto"/>
        <w:jc w:val="both"/>
      </w:pPr>
      <w:r>
        <w:rPr>
          <w:rFonts w:ascii="Tahoma" w:eastAsia="Tahoma" w:hAnsi="Tahoma" w:cs="Tahoma"/>
        </w:rPr>
        <w:t>ADEME (2018). Représentations sociales de l’effet de serre.</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S. Anderson, I. E. Marinescu, B. Shor (2019). « Can Pigou at the Polls Stop US Melting the Poles? »  Working Paper 26146, National Bureau of Economic Research.</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M. Ben Jelloul, A. Bozio, T. Douenne, B. Fabre, C. Leroy (2019). </w:t>
      </w:r>
      <w:r>
        <w:rPr>
          <w:rFonts w:ascii="Tahoma" w:eastAsia="Tahoma" w:hAnsi="Tahoma" w:cs="Tahoma"/>
        </w:rPr>
        <w:t>« Budget 2019 : quels effets pour les ménages ? », Notes IPP, vol. 37, 11p.</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D. Bureau, F. Henriet, K. Schubert (2019). </w:t>
      </w:r>
      <w:r>
        <w:rPr>
          <w:rFonts w:ascii="Tahoma" w:eastAsia="Tahoma" w:hAnsi="Tahoma" w:cs="Tahoma"/>
        </w:rPr>
        <w:t>« Pour le climat : une taxe juste, pas juste une taxe ». Les notes du conseil d’analyse économique, (50):12.</w:t>
      </w:r>
    </w:p>
    <w:p w:rsidR="004564FD" w:rsidRDefault="0061418B">
      <w:pPr>
        <w:spacing w:before="240" w:after="240" w:line="240" w:lineRule="auto"/>
        <w:jc w:val="both"/>
        <w:rPr>
          <w:rFonts w:ascii="Tahoma" w:eastAsia="Tahoma" w:hAnsi="Tahoma" w:cs="Tahoma"/>
          <w:lang w:val="en-US"/>
        </w:rPr>
      </w:pPr>
      <w:r w:rsidRPr="00736446">
        <w:rPr>
          <w:rFonts w:ascii="Tahoma" w:eastAsia="Tahoma" w:hAnsi="Tahoma" w:cs="Tahoma"/>
          <w:lang w:val="en-US"/>
        </w:rPr>
        <w:t xml:space="preserve">S. Carattini, M. Carvalho, S. Fankhauser (2018). </w:t>
      </w:r>
      <w:r>
        <w:rPr>
          <w:rFonts w:ascii="Tahoma" w:eastAsia="Tahoma" w:hAnsi="Tahoma" w:cs="Tahoma"/>
          <w:lang w:val="en-US"/>
        </w:rPr>
        <w:t xml:space="preserve">« Overcoming public resistance to carbon taxes ». Wiley Interdisciplinary Reviews: </w:t>
      </w:r>
      <w:r>
        <w:rPr>
          <w:rFonts w:ascii="Tahoma" w:eastAsia="Tahoma" w:hAnsi="Tahoma" w:cs="Tahoma"/>
          <w:i/>
          <w:lang w:val="en-US"/>
        </w:rPr>
        <w:t>Climate Change</w:t>
      </w:r>
      <w:r>
        <w:rPr>
          <w:rFonts w:ascii="Tahoma" w:eastAsia="Tahoma" w:hAnsi="Tahoma" w:cs="Tahoma"/>
          <w:lang w:val="en-US"/>
        </w:rPr>
        <w:t>, 9(5):e531.</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T. Douenne (2019). « The vertical and horizontal distributive effects of energy taxes: a case study of a French policy », </w:t>
      </w:r>
      <w:r>
        <w:rPr>
          <w:rFonts w:ascii="Tahoma" w:eastAsia="Tahoma" w:hAnsi="Tahoma" w:cs="Tahoma"/>
          <w:i/>
          <w:lang w:val="en-US"/>
        </w:rPr>
        <w:t>The Energy Journal</w:t>
      </w:r>
      <w:r>
        <w:rPr>
          <w:rFonts w:ascii="Tahoma" w:eastAsia="Tahoma" w:hAnsi="Tahoma" w:cs="Tahoma"/>
          <w:lang w:val="en-US"/>
        </w:rPr>
        <w:t xml:space="preserve"> (Forthcoming)</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T. Douenne, A. Fabre (2019). « French Attitudes on Climate Change, Carbon Taxation and other Climate Policies », </w:t>
      </w:r>
      <w:r>
        <w:rPr>
          <w:rFonts w:ascii="Tahoma" w:eastAsia="Tahoma" w:hAnsi="Tahoma" w:cs="Tahoma"/>
          <w:i/>
          <w:lang w:val="en-US"/>
        </w:rPr>
        <w:t>Ecological Economics</w:t>
      </w:r>
      <w:r>
        <w:rPr>
          <w:rFonts w:ascii="Tahoma" w:eastAsia="Tahoma" w:hAnsi="Tahoma" w:cs="Tahoma"/>
          <w:lang w:val="en-US"/>
        </w:rPr>
        <w:t xml:space="preserve"> (Forthcoming)</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T. Douenne, A. Fabre (2019). « Can We Reconcile French People with the Carbon Tax? </w:t>
      </w:r>
      <w:r>
        <w:rPr>
          <w:rFonts w:ascii="Tahoma" w:eastAsia="Tahoma" w:hAnsi="Tahoma" w:cs="Tahoma"/>
        </w:rPr>
        <w:t>Disentangling Beliefs from Preferences » FAERE Working Paper, 2019.10.</w:t>
      </w:r>
    </w:p>
    <w:p w:rsidR="004564FD" w:rsidRDefault="004564FD">
      <w:pPr>
        <w:spacing w:before="240" w:after="240" w:line="240" w:lineRule="auto"/>
        <w:rPr>
          <w:rFonts w:ascii="Tahoma" w:eastAsia="Tahoma" w:hAnsi="Tahoma" w:cs="Tahoma"/>
        </w:rPr>
      </w:pPr>
    </w:p>
    <w:p w:rsidR="004564FD" w:rsidRDefault="0061418B">
      <w:pPr>
        <w:spacing w:before="240" w:after="240" w:line="240" w:lineRule="auto"/>
        <w:rPr>
          <w:rFonts w:ascii="Tahoma" w:eastAsia="Tahoma" w:hAnsi="Tahoma" w:cs="Tahoma"/>
        </w:rPr>
      </w:pPr>
      <w:r>
        <w:rPr>
          <w:noProof/>
          <w:lang w:val="en-US" w:eastAsia="en-US" w:bidi="ar-SA"/>
        </w:rPr>
        <mc:AlternateContent>
          <mc:Choice Requires="wps">
            <w:drawing>
              <wp:inline distT="0" distB="0" distL="0" distR="0" wp14:anchorId="029C2A3B" wp14:editId="3C0CDCA5">
                <wp:extent cx="3175" cy="21590"/>
                <wp:effectExtent l="0" t="0" r="0" b="0"/>
                <wp:docPr id="45" name="Rectangle 45"/>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7pt;width:0.15pt;height:1.6pt;mso-position-vertical:top" wp14:anchorId="3FDF68E6">
                <w10:wrap type="none"/>
                <v:fill o:detectmouseclick="t" type="solid" color2="#5f5f5f"/>
                <v:stroke color="#3465a4" joinstyle="round" endcap="flat"/>
              </v:rect>
            </w:pict>
          </mc:Fallback>
        </mc:AlternateContent>
      </w:r>
    </w:p>
    <w:p w:rsidR="004564FD" w:rsidRDefault="004564FD">
      <w:pPr>
        <w:spacing w:before="240" w:after="240" w:line="240" w:lineRule="auto"/>
        <w:rPr>
          <w:rFonts w:ascii="Tahoma" w:eastAsia="Tahoma" w:hAnsi="Tahoma" w:cs="Tahoma"/>
        </w:rPr>
      </w:pP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lastRenderedPageBreak/>
        <w:t>[1]</w:t>
      </w:r>
      <w:r>
        <w:rPr>
          <w:rFonts w:ascii="Tahoma" w:eastAsia="Tahoma" w:hAnsi="Tahoma" w:cs="Tahoma"/>
        </w:rPr>
        <w:t xml:space="preserve"> Ben Jelloul et al, « Budget 2019 : quels effets pour les ménages ? », Notes IPP, vol. 37, Jan 2019, 11p.</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preferences-pol.fr/doc_q.php#_e</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[7]</w:t>
      </w:r>
      <w:r>
        <w:rPr>
          <w:rFonts w:ascii="Tahoma" w:eastAsia="Tahoma" w:hAnsi="Tahoma" w:cs="Tahoma"/>
        </w:rPr>
        <w:t xml:space="preserve"> Voir Carattini et al (2018)</w:t>
      </w:r>
    </w:p>
    <w:p w:rsidR="004564FD" w:rsidRDefault="004564FD">
      <w:pPr>
        <w:spacing w:before="240" w:after="240" w:line="240" w:lineRule="auto"/>
        <w:rPr>
          <w:rFonts w:ascii="Tahoma" w:eastAsia="Tahoma" w:hAnsi="Tahoma" w:cs="Tahoma"/>
        </w:rPr>
      </w:pPr>
    </w:p>
    <w:p w:rsidR="004564FD" w:rsidRDefault="004564FD">
      <w:pPr>
        <w:spacing w:before="240" w:after="240" w:line="240" w:lineRule="auto"/>
        <w:rPr>
          <w:rFonts w:ascii="Tahoma" w:eastAsia="Tahoma" w:hAnsi="Tahoma" w:cs="Tahoma"/>
          <w:b/>
          <w:color w:val="0070C0"/>
        </w:rPr>
      </w:pPr>
    </w:p>
    <w:p w:rsidR="004564FD" w:rsidRDefault="004564FD"/>
    <w:sectPr w:rsidR="004564FD">
      <w:type w:val="continuous"/>
      <w:pgSz w:w="11906" w:h="16838"/>
      <w:pgMar w:top="1440" w:right="1132" w:bottom="1440" w:left="1133" w:header="720" w:footer="0" w:gutter="0"/>
      <w:cols w:num="2" w:space="298"/>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FD6" w:rsidRDefault="00AC0FD6">
      <w:pPr>
        <w:spacing w:line="240" w:lineRule="auto"/>
      </w:pPr>
      <w:r>
        <w:separator/>
      </w:r>
    </w:p>
  </w:endnote>
  <w:endnote w:type="continuationSeparator" w:id="0">
    <w:p w:rsidR="00AC0FD6" w:rsidRDefault="00AC0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FD6" w:rsidRDefault="00AC0FD6">
      <w:pPr>
        <w:spacing w:line="240" w:lineRule="auto"/>
      </w:pPr>
      <w:r>
        <w:separator/>
      </w:r>
    </w:p>
  </w:footnote>
  <w:footnote w:type="continuationSeparator" w:id="0">
    <w:p w:rsidR="00AC0FD6" w:rsidRDefault="00AC0F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4FD" w:rsidRDefault="0061418B">
    <w:pPr>
      <w:jc w:val="right"/>
    </w:pPr>
    <w:r>
      <w:fldChar w:fldCharType="begin"/>
    </w:r>
    <w:r>
      <w:instrText>PAGE</w:instrText>
    </w:r>
    <w:r>
      <w:fldChar w:fldCharType="separate"/>
    </w:r>
    <w:r w:rsidR="00B04283">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64FD"/>
    <w:rsid w:val="004564FD"/>
    <w:rsid w:val="00611D91"/>
    <w:rsid w:val="0061418B"/>
    <w:rsid w:val="00736446"/>
    <w:rsid w:val="00AC0FD6"/>
    <w:rsid w:val="00B04283"/>
    <w:rsid w:val="00C20A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45BC0"/>
    <w:rPr>
      <w:rFonts w:ascii="Tahoma" w:hAnsi="Tahoma" w:cs="Mangal"/>
      <w:sz w:val="16"/>
      <w:szCs w:val="14"/>
    </w:rPr>
  </w:style>
  <w:style w:type="character" w:customStyle="1" w:styleId="CommentSubjectChar">
    <w:name w:val="Comment Subject Char"/>
    <w:basedOn w:val="CommentTextChar"/>
    <w:link w:val="CommentSubject"/>
    <w:uiPriority w:val="99"/>
    <w:semiHidden/>
    <w:qFormat/>
    <w:rsid w:val="001046A2"/>
    <w:rPr>
      <w:rFonts w:cs="Mangal"/>
      <w:b/>
      <w:bCs/>
      <w:szCs w:val="18"/>
    </w:rPr>
  </w:style>
  <w:style w:type="character" w:customStyle="1" w:styleId="ListLabel3">
    <w:name w:val="ListLabel 3"/>
    <w:qFormat/>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pPr>
      <w:spacing w:line="240" w:lineRule="auto"/>
    </w:pPr>
    <w:rPr>
      <w:rFonts w:cs="Mangal"/>
      <w:sz w:val="20"/>
      <w:szCs w:val="18"/>
    </w:rPr>
  </w:style>
  <w:style w:type="paragraph" w:styleId="BalloonText">
    <w:name w:val="Balloon Text"/>
    <w:basedOn w:val="Normal"/>
    <w:link w:val="BalloonTextChar"/>
    <w:uiPriority w:val="99"/>
    <w:semiHidden/>
    <w:unhideWhenUsed/>
    <w:qFormat/>
    <w:rsid w:val="00245BC0"/>
    <w:pPr>
      <w:spacing w:line="240" w:lineRule="auto"/>
    </w:pPr>
    <w:rPr>
      <w:rFonts w:ascii="Tahoma" w:hAnsi="Tahoma" w:cs="Mangal"/>
      <w:sz w:val="16"/>
      <w:szCs w:val="14"/>
    </w:rPr>
  </w:style>
  <w:style w:type="paragraph" w:styleId="CommentSubject">
    <w:name w:val="annotation subject"/>
    <w:basedOn w:val="CommentText"/>
    <w:link w:val="CommentSubjectChar"/>
    <w:uiPriority w:val="99"/>
    <w:semiHidden/>
    <w:unhideWhenUsed/>
    <w:qFormat/>
    <w:rsid w:val="001046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45BC0"/>
    <w:rPr>
      <w:rFonts w:ascii="Tahoma" w:hAnsi="Tahoma" w:cs="Mangal"/>
      <w:sz w:val="16"/>
      <w:szCs w:val="14"/>
    </w:rPr>
  </w:style>
  <w:style w:type="character" w:customStyle="1" w:styleId="CommentSubjectChar">
    <w:name w:val="Comment Subject Char"/>
    <w:basedOn w:val="CommentTextChar"/>
    <w:link w:val="CommentSubject"/>
    <w:uiPriority w:val="99"/>
    <w:semiHidden/>
    <w:qFormat/>
    <w:rsid w:val="001046A2"/>
    <w:rPr>
      <w:rFonts w:cs="Mangal"/>
      <w:b/>
      <w:bCs/>
      <w:szCs w:val="18"/>
    </w:rPr>
  </w:style>
  <w:style w:type="character" w:customStyle="1" w:styleId="ListLabel3">
    <w:name w:val="ListLabel 3"/>
    <w:qFormat/>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pPr>
      <w:spacing w:line="240" w:lineRule="auto"/>
    </w:pPr>
    <w:rPr>
      <w:rFonts w:cs="Mangal"/>
      <w:sz w:val="20"/>
      <w:szCs w:val="18"/>
    </w:rPr>
  </w:style>
  <w:style w:type="paragraph" w:styleId="BalloonText">
    <w:name w:val="Balloon Text"/>
    <w:basedOn w:val="Normal"/>
    <w:link w:val="BalloonTextChar"/>
    <w:uiPriority w:val="99"/>
    <w:semiHidden/>
    <w:unhideWhenUsed/>
    <w:qFormat/>
    <w:rsid w:val="00245BC0"/>
    <w:pPr>
      <w:spacing w:line="240" w:lineRule="auto"/>
    </w:pPr>
    <w:rPr>
      <w:rFonts w:ascii="Tahoma" w:hAnsi="Tahoma" w:cs="Mangal"/>
      <w:sz w:val="16"/>
      <w:szCs w:val="14"/>
    </w:rPr>
  </w:style>
  <w:style w:type="paragraph" w:styleId="CommentSubject">
    <w:name w:val="annotation subject"/>
    <w:basedOn w:val="CommentText"/>
    <w:link w:val="CommentSubjectChar"/>
    <w:uiPriority w:val="99"/>
    <w:semiHidden/>
    <w:unhideWhenUsed/>
    <w:qFormat/>
    <w:rsid w:val="00104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alternatives-economiques.fr/part-differents-modes-de-transport-fonction-de-distance-domicile-travail-effectuee-actifs-ayant-un-0112201781570.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0.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32BB6-56B6-4380-AFDF-9E71056C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3703</Words>
  <Characters>21110</Characters>
  <Application>Microsoft Office Word</Application>
  <DocSecurity>0</DocSecurity>
  <Lines>175</Lines>
  <Paragraphs>49</Paragraphs>
  <ScaleCrop>false</ScaleCrop>
  <Company>Microsoft</Company>
  <LinksUpToDate>false</LinksUpToDate>
  <CharactersWithSpaces>24764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23</cp:revision>
  <dcterms:created xsi:type="dcterms:W3CDTF">2019-10-22T20:29:00Z</dcterms:created>
  <dcterms:modified xsi:type="dcterms:W3CDTF">2019-10-25T21:15:00Z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