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02BEC9" w14:textId="77777777" w:rsidR="00B61FA3" w:rsidRPr="00B61FA3" w:rsidRDefault="00B61FA3" w:rsidP="00B61FA3">
      <w:pPr>
        <w:jc w:val="center"/>
        <w:rPr>
          <w:rFonts w:ascii="Cambria" w:hAnsi="Cambria"/>
          <w:b/>
          <w:sz w:val="32"/>
          <w:szCs w:val="32"/>
        </w:rPr>
      </w:pPr>
      <w:r w:rsidRPr="00B61FA3">
        <w:rPr>
          <w:rFonts w:ascii="Cambria" w:hAnsi="Cambria"/>
          <w:b/>
          <w:sz w:val="32"/>
          <w:szCs w:val="32"/>
        </w:rPr>
        <w:t>Can we reconcile French people with the carbon tax?</w:t>
      </w:r>
    </w:p>
    <w:p w14:paraId="41012458" w14:textId="77777777" w:rsidR="000C0475" w:rsidRPr="00B61FA3" w:rsidRDefault="006C4D43">
      <w:pPr>
        <w:rPr>
          <w:rFonts w:ascii="Cambria" w:hAnsi="Cambria"/>
        </w:rPr>
      </w:pPr>
      <w:r w:rsidRPr="00B61FA3">
        <w:rPr>
          <w:rFonts w:ascii="Cambria" w:hAnsi="Cambria"/>
          <w:b/>
        </w:rPr>
        <w:t>Thomas Douenne</w:t>
      </w:r>
      <w:r w:rsidRPr="00B61FA3">
        <w:rPr>
          <w:rFonts w:ascii="Cambria" w:hAnsi="Cambria"/>
        </w:rPr>
        <w:t>, Assistant Professor, University of Amsterdam</w:t>
      </w:r>
    </w:p>
    <w:p w14:paraId="63DC1018" w14:textId="77777777" w:rsidR="006C4D43" w:rsidRDefault="006C4D43">
      <w:pPr>
        <w:rPr>
          <w:rFonts w:ascii="Cambria" w:hAnsi="Cambria"/>
        </w:rPr>
      </w:pPr>
      <w:r w:rsidRPr="00B61FA3">
        <w:rPr>
          <w:rFonts w:ascii="Cambria" w:hAnsi="Cambria"/>
          <w:b/>
        </w:rPr>
        <w:t>Adrien Fabre</w:t>
      </w:r>
      <w:r w:rsidRPr="00B61FA3">
        <w:rPr>
          <w:rFonts w:ascii="Cambria" w:hAnsi="Cambria"/>
        </w:rPr>
        <w:t>, Postdoc, ETH Zürich</w:t>
      </w:r>
    </w:p>
    <w:p w14:paraId="0C62578B" w14:textId="4C7E395C" w:rsidR="00B56FBA" w:rsidRPr="006D035C" w:rsidRDefault="006D035C" w:rsidP="00C438DB">
      <w:pPr>
        <w:jc w:val="both"/>
        <w:rPr>
          <w:rFonts w:ascii="Cambria" w:hAnsi="Cambria"/>
          <w:i/>
        </w:rPr>
      </w:pPr>
      <w:r>
        <w:rPr>
          <w:rFonts w:ascii="Cambria" w:hAnsi="Cambria"/>
          <w:i/>
        </w:rPr>
        <w:t>Original surveys show</w:t>
      </w:r>
      <w:r w:rsidRPr="006D035C">
        <w:rPr>
          <w:rFonts w:ascii="Cambria" w:hAnsi="Cambria"/>
          <w:i/>
        </w:rPr>
        <w:t xml:space="preserve"> that </w:t>
      </w:r>
      <w:r>
        <w:rPr>
          <w:rFonts w:ascii="Cambria" w:hAnsi="Cambria"/>
          <w:i/>
        </w:rPr>
        <w:t>rejection of the French carbon tax is driven by pessimistic beliefs regarding the properties of the tax. Even when revenue</w:t>
      </w:r>
      <w:r w:rsidR="00C438DB">
        <w:rPr>
          <w:rFonts w:ascii="Cambria" w:hAnsi="Cambria"/>
          <w:i/>
        </w:rPr>
        <w:t>s from the tax are redistributed to households so as to make the policy progressive, most people think that they and low-income households would lose out, and that the policy would not be effective at reduc</w:t>
      </w:r>
      <w:r w:rsidR="008A644E">
        <w:rPr>
          <w:rFonts w:ascii="Cambria" w:hAnsi="Cambria"/>
          <w:i/>
        </w:rPr>
        <w:t>ing</w:t>
      </w:r>
      <w:r w:rsidR="00C438DB">
        <w:rPr>
          <w:rFonts w:ascii="Cambria" w:hAnsi="Cambria"/>
          <w:i/>
        </w:rPr>
        <w:t xml:space="preserve"> emissions. </w:t>
      </w:r>
      <w:r w:rsidR="00783853">
        <w:rPr>
          <w:rFonts w:ascii="Cambria" w:hAnsi="Cambria"/>
          <w:i/>
        </w:rPr>
        <w:t>Public</w:t>
      </w:r>
      <w:r w:rsidR="00C438DB">
        <w:rPr>
          <w:rFonts w:ascii="Cambria" w:hAnsi="Cambria"/>
          <w:i/>
        </w:rPr>
        <w:t xml:space="preserve"> investments and </w:t>
      </w:r>
      <w:r w:rsidR="00783853">
        <w:rPr>
          <w:rFonts w:ascii="Cambria" w:hAnsi="Cambria"/>
          <w:i/>
        </w:rPr>
        <w:t>standards</w:t>
      </w:r>
      <w:r w:rsidR="00C438DB">
        <w:rPr>
          <w:rFonts w:ascii="Cambria" w:hAnsi="Cambria"/>
          <w:i/>
        </w:rPr>
        <w:t xml:space="preserve"> </w:t>
      </w:r>
      <w:r w:rsidR="00783853">
        <w:rPr>
          <w:rFonts w:ascii="Cambria" w:hAnsi="Cambria"/>
          <w:i/>
        </w:rPr>
        <w:t>would help fostering support for an ambitious climate policy</w:t>
      </w:r>
      <w:r w:rsidR="00C438DB">
        <w:rPr>
          <w:rFonts w:ascii="Cambria" w:hAnsi="Cambria"/>
          <w:i/>
        </w:rPr>
        <w:t>.</w:t>
      </w:r>
    </w:p>
    <w:p w14:paraId="33C51569" w14:textId="753062D3" w:rsidR="00A811F0" w:rsidRPr="00413E12" w:rsidRDefault="00160DB4" w:rsidP="006D035C">
      <w:pPr>
        <w:spacing w:line="276" w:lineRule="auto"/>
        <w:jc w:val="both"/>
        <w:rPr>
          <w:rFonts w:ascii="Cambria" w:hAnsi="Cambria"/>
        </w:rPr>
      </w:pPr>
      <w:r>
        <w:rPr>
          <w:rFonts w:ascii="Cambria" w:hAnsi="Cambria"/>
        </w:rPr>
        <w:t xml:space="preserve">While </w:t>
      </w:r>
      <w:r w:rsidRPr="000C1828">
        <w:rPr>
          <w:rFonts w:ascii="Cambria" w:hAnsi="Cambria"/>
        </w:rPr>
        <w:t xml:space="preserve">5,000 economists called for the rapid development of carbon taxation in the U.S. and </w:t>
      </w:r>
      <w:r>
        <w:rPr>
          <w:rFonts w:ascii="Cambria" w:hAnsi="Cambria"/>
        </w:rPr>
        <w:t xml:space="preserve">in </w:t>
      </w:r>
      <w:r w:rsidRPr="000C1828">
        <w:rPr>
          <w:rFonts w:ascii="Cambria" w:hAnsi="Cambria"/>
        </w:rPr>
        <w:t>Europe</w:t>
      </w:r>
      <w:r>
        <w:rPr>
          <w:rFonts w:ascii="Cambria" w:hAnsi="Cambria"/>
        </w:rPr>
        <w:t>,</w:t>
      </w:r>
      <w:r w:rsidR="006D035C" w:rsidRPr="000C1828">
        <w:rPr>
          <w:rStyle w:val="FootnoteReference"/>
          <w:rFonts w:ascii="Cambria" w:hAnsi="Cambria"/>
        </w:rPr>
        <w:footnoteReference w:id="1"/>
      </w:r>
      <w:r>
        <w:rPr>
          <w:rFonts w:ascii="Cambria" w:hAnsi="Cambria"/>
        </w:rPr>
        <w:t xml:space="preserve"> the public </w:t>
      </w:r>
      <w:r w:rsidR="006D035C">
        <w:rPr>
          <w:rFonts w:ascii="Cambria" w:hAnsi="Cambria"/>
        </w:rPr>
        <w:t>often oppose</w:t>
      </w:r>
      <w:r w:rsidR="009431E2">
        <w:rPr>
          <w:rFonts w:ascii="Cambria" w:hAnsi="Cambria"/>
        </w:rPr>
        <w:t>s</w:t>
      </w:r>
      <w:r>
        <w:rPr>
          <w:rFonts w:ascii="Cambria" w:hAnsi="Cambria"/>
        </w:rPr>
        <w:t xml:space="preserve"> this climate policy</w:t>
      </w:r>
      <w:r w:rsidR="006D035C">
        <w:rPr>
          <w:rFonts w:ascii="Cambria" w:hAnsi="Cambria"/>
        </w:rPr>
        <w:t xml:space="preserve"> </w:t>
      </w:r>
      <w:r w:rsidR="006D035C" w:rsidRPr="00413E12">
        <w:rPr>
          <w:rFonts w:ascii="Cambria" w:hAnsi="Cambria"/>
        </w:rPr>
        <w:t>(see Carattini et al, 2018</w:t>
      </w:r>
      <w:r w:rsidR="006D035C">
        <w:rPr>
          <w:rFonts w:ascii="Cambria" w:hAnsi="Cambria"/>
        </w:rPr>
        <w:t>; Klenert and Hepburn, 2018</w:t>
      </w:r>
      <w:r w:rsidR="006D035C" w:rsidRPr="00413E12">
        <w:rPr>
          <w:rFonts w:ascii="Cambria" w:hAnsi="Cambria"/>
        </w:rPr>
        <w:t>).</w:t>
      </w:r>
      <w:r>
        <w:rPr>
          <w:rFonts w:ascii="Cambria" w:hAnsi="Cambria"/>
        </w:rPr>
        <w:t xml:space="preserve"> </w:t>
      </w:r>
      <w:r w:rsidR="006D035C">
        <w:rPr>
          <w:rFonts w:ascii="Cambria" w:hAnsi="Cambria"/>
        </w:rPr>
        <w:t>In France</w:t>
      </w:r>
      <w:r w:rsidR="00A811F0" w:rsidRPr="000C1828">
        <w:rPr>
          <w:rFonts w:ascii="Cambria" w:hAnsi="Cambria"/>
        </w:rPr>
        <w:t>, the government</w:t>
      </w:r>
      <w:r w:rsidR="006D035C">
        <w:rPr>
          <w:rFonts w:ascii="Cambria" w:hAnsi="Cambria"/>
        </w:rPr>
        <w:t xml:space="preserve"> abandoned its plan </w:t>
      </w:r>
      <w:r w:rsidR="00A811F0" w:rsidRPr="000C1828">
        <w:rPr>
          <w:rFonts w:ascii="Cambria" w:hAnsi="Cambria"/>
        </w:rPr>
        <w:t>to an ambitious carbon tax trajectory</w:t>
      </w:r>
      <w:r w:rsidR="006D035C">
        <w:rPr>
          <w:rFonts w:ascii="Cambria" w:hAnsi="Cambria"/>
        </w:rPr>
        <w:t xml:space="preserve"> following the protests</w:t>
      </w:r>
      <w:r w:rsidR="00A811F0" w:rsidRPr="000C1828">
        <w:rPr>
          <w:rFonts w:ascii="Cambria" w:hAnsi="Cambria"/>
        </w:rPr>
        <w:t xml:space="preserve"> </w:t>
      </w:r>
      <w:r w:rsidR="00A811F0">
        <w:rPr>
          <w:rFonts w:ascii="Cambria" w:hAnsi="Cambria"/>
        </w:rPr>
        <w:t>of</w:t>
      </w:r>
      <w:r w:rsidR="00A811F0" w:rsidRPr="00413E12">
        <w:rPr>
          <w:rFonts w:ascii="Cambria" w:hAnsi="Cambria"/>
        </w:rPr>
        <w:t xml:space="preserve"> the Yellow Vests.</w:t>
      </w:r>
      <w:r w:rsidR="00A811F0" w:rsidRPr="00413E12">
        <w:rPr>
          <w:rStyle w:val="FootnoteReference"/>
          <w:rFonts w:ascii="Cambria" w:hAnsi="Cambria"/>
        </w:rPr>
        <w:footnoteReference w:id="2"/>
      </w:r>
      <w:r w:rsidR="00A811F0" w:rsidRPr="00413E12">
        <w:rPr>
          <w:rFonts w:ascii="Cambria" w:hAnsi="Cambria"/>
        </w:rPr>
        <w:t xml:space="preserve"> </w:t>
      </w:r>
    </w:p>
    <w:p w14:paraId="2AD3338A" w14:textId="437DCF15" w:rsidR="00B56FBA" w:rsidRPr="00B56FBA" w:rsidRDefault="00A811F0" w:rsidP="00AA3E44">
      <w:pPr>
        <w:spacing w:line="276" w:lineRule="auto"/>
        <w:jc w:val="both"/>
        <w:rPr>
          <w:rFonts w:ascii="Cambria" w:hAnsi="Cambria"/>
        </w:rPr>
      </w:pPr>
      <w:r w:rsidRPr="00413E12">
        <w:rPr>
          <w:rFonts w:ascii="Cambria" w:hAnsi="Cambria"/>
        </w:rPr>
        <w:t>Why do citizens</w:t>
      </w:r>
      <w:r w:rsidR="00B143E3">
        <w:rPr>
          <w:rFonts w:ascii="Cambria" w:hAnsi="Cambria"/>
        </w:rPr>
        <w:t xml:space="preserve"> often</w:t>
      </w:r>
      <w:r w:rsidRPr="00413E12">
        <w:rPr>
          <w:rFonts w:ascii="Cambria" w:hAnsi="Cambria"/>
        </w:rPr>
        <w:t xml:space="preserve"> </w:t>
      </w:r>
      <w:r w:rsidR="00B143E3">
        <w:rPr>
          <w:rFonts w:ascii="Cambria" w:hAnsi="Cambria"/>
        </w:rPr>
        <w:t>oppose</w:t>
      </w:r>
      <w:r w:rsidRPr="00413E12">
        <w:rPr>
          <w:rFonts w:ascii="Cambria" w:hAnsi="Cambria"/>
        </w:rPr>
        <w:t xml:space="preserve"> carbon taxation? </w:t>
      </w:r>
      <w:r w:rsidR="002D28C6" w:rsidRPr="002D28C6">
        <w:rPr>
          <w:rFonts w:ascii="Cambria" w:hAnsi="Cambria"/>
        </w:rPr>
        <w:t>Two common explanations are that citizens refuse to bear the</w:t>
      </w:r>
      <w:r w:rsidR="002D28C6">
        <w:rPr>
          <w:rFonts w:ascii="Cambria" w:hAnsi="Cambria"/>
        </w:rPr>
        <w:t xml:space="preserve"> full</w:t>
      </w:r>
      <w:r w:rsidR="002D28C6" w:rsidRPr="002D28C6">
        <w:rPr>
          <w:rFonts w:ascii="Cambria" w:hAnsi="Cambria"/>
        </w:rPr>
        <w:t xml:space="preserve"> costs of climate change mitigation </w:t>
      </w:r>
      <w:r w:rsidR="002D28C6">
        <w:rPr>
          <w:rFonts w:ascii="Cambria" w:hAnsi="Cambria"/>
        </w:rPr>
        <w:t>for lack of altruism</w:t>
      </w:r>
      <w:r w:rsidR="002D28C6" w:rsidRPr="002D28C6">
        <w:rPr>
          <w:rFonts w:ascii="Cambria" w:hAnsi="Cambria"/>
        </w:rPr>
        <w:t>, or that they disagree with the way those costs are distributed. In Douenne and Fabre (2022), we argue that a third mechanism may come into play: even when people are expected to benefit from carbon taxation, pessimistic beliefs about the effect of the policy could lead them to oppose it.</w:t>
      </w:r>
      <w:r w:rsidR="00630CC9">
        <w:rPr>
          <w:rFonts w:ascii="Cambria" w:hAnsi="Cambria"/>
        </w:rPr>
        <w:t xml:space="preserve"> </w:t>
      </w:r>
      <w:r w:rsidR="002D28C6">
        <w:rPr>
          <w:rFonts w:ascii="Cambria" w:hAnsi="Cambria"/>
        </w:rPr>
        <w:t>It is not intuitive that people could benefit from carbon taxation. Actually</w:t>
      </w:r>
      <w:r w:rsidRPr="00413E12">
        <w:rPr>
          <w:rFonts w:ascii="Cambria" w:hAnsi="Cambria"/>
        </w:rPr>
        <w:t xml:space="preserve">, </w:t>
      </w:r>
      <w:r w:rsidR="00B143E3">
        <w:rPr>
          <w:rFonts w:ascii="Cambria" w:hAnsi="Cambria"/>
        </w:rPr>
        <w:t xml:space="preserve">carbon taxation alone </w:t>
      </w:r>
      <w:r w:rsidR="00B143E3" w:rsidRPr="000C1828">
        <w:rPr>
          <w:rFonts w:ascii="Cambria" w:hAnsi="Cambria"/>
        </w:rPr>
        <w:t>is generally regressive because poorer households spend on average a larger share of their income on polluting goods</w:t>
      </w:r>
      <w:r w:rsidR="00B56FBA">
        <w:rPr>
          <w:rFonts w:ascii="Cambria" w:hAnsi="Cambria"/>
        </w:rPr>
        <w:t xml:space="preserve">. </w:t>
      </w:r>
      <w:r w:rsidR="002D28C6">
        <w:rPr>
          <w:rFonts w:ascii="Cambria" w:hAnsi="Cambria"/>
        </w:rPr>
        <w:t>Yet</w:t>
      </w:r>
      <w:r w:rsidR="00B143E3" w:rsidRPr="000C1828">
        <w:rPr>
          <w:rFonts w:ascii="Cambria" w:hAnsi="Cambria"/>
        </w:rPr>
        <w:t xml:space="preserve">, </w:t>
      </w:r>
      <w:r w:rsidR="00B143E3">
        <w:rPr>
          <w:rFonts w:ascii="Cambria" w:hAnsi="Cambria"/>
        </w:rPr>
        <w:t>since they</w:t>
      </w:r>
      <w:r w:rsidR="00B143E3" w:rsidRPr="000C1828">
        <w:rPr>
          <w:rFonts w:ascii="Cambria" w:hAnsi="Cambria"/>
        </w:rPr>
        <w:t xml:space="preserve"> spend less on these goods </w:t>
      </w:r>
      <w:r w:rsidR="002172A7">
        <w:rPr>
          <w:rFonts w:ascii="Cambria" w:hAnsi="Cambria"/>
        </w:rPr>
        <w:t xml:space="preserve">than richer households </w:t>
      </w:r>
      <w:r w:rsidR="00B143E3" w:rsidRPr="000C1828">
        <w:rPr>
          <w:rFonts w:ascii="Cambria" w:hAnsi="Cambria"/>
        </w:rPr>
        <w:t>in absolute terms</w:t>
      </w:r>
      <w:r w:rsidR="00B143E3">
        <w:t xml:space="preserve">, </w:t>
      </w:r>
      <w:r w:rsidR="00B143E3" w:rsidRPr="00074E75">
        <w:rPr>
          <w:rFonts w:ascii="Cambria" w:hAnsi="Cambria"/>
        </w:rPr>
        <w:t xml:space="preserve">it is sufficient to transfer the proceeds of the tax as a </w:t>
      </w:r>
      <w:r w:rsidR="00B143E3">
        <w:rPr>
          <w:rFonts w:ascii="Cambria" w:hAnsi="Cambria"/>
        </w:rPr>
        <w:t>uniform transfer</w:t>
      </w:r>
      <w:r w:rsidR="00B143E3" w:rsidRPr="00074E75">
        <w:rPr>
          <w:rFonts w:ascii="Cambria" w:hAnsi="Cambria"/>
        </w:rPr>
        <w:t xml:space="preserve"> (a policy known as a carbon tax and dividend) to design a progressive polic</w:t>
      </w:r>
      <w:r w:rsidR="00B143E3">
        <w:rPr>
          <w:rFonts w:ascii="Cambria" w:hAnsi="Cambria"/>
        </w:rPr>
        <w:t>y</w:t>
      </w:r>
      <w:r w:rsidR="002D28C6">
        <w:rPr>
          <w:rFonts w:ascii="Cambria" w:hAnsi="Cambria"/>
        </w:rPr>
        <w:t xml:space="preserve"> and make a majority of people better-off</w:t>
      </w:r>
      <w:r w:rsidR="00B143E3">
        <w:rPr>
          <w:rFonts w:ascii="Cambria" w:hAnsi="Cambria"/>
        </w:rPr>
        <w:t xml:space="preserve"> (Pizer and Sexton, 2019; </w:t>
      </w:r>
      <w:r w:rsidR="002D28C6">
        <w:rPr>
          <w:rFonts w:ascii="Cambria" w:hAnsi="Cambria"/>
        </w:rPr>
        <w:t xml:space="preserve">Douenne, 2020; </w:t>
      </w:r>
      <w:r w:rsidR="00B143E3">
        <w:rPr>
          <w:rFonts w:ascii="Cambria" w:hAnsi="Cambria"/>
        </w:rPr>
        <w:t>Paoli and van der Ploeg, 2021)</w:t>
      </w:r>
      <w:r w:rsidR="00B143E3" w:rsidRPr="000C1828">
        <w:rPr>
          <w:rFonts w:ascii="Cambria" w:hAnsi="Cambria"/>
        </w:rPr>
        <w:t xml:space="preserve">. </w:t>
      </w:r>
    </w:p>
    <w:p w14:paraId="036CF92C" w14:textId="77777777" w:rsidR="00AA3E44" w:rsidRDefault="00AA3E44" w:rsidP="00AA3E44">
      <w:pPr>
        <w:spacing w:line="276" w:lineRule="auto"/>
        <w:jc w:val="both"/>
        <w:rPr>
          <w:rFonts w:ascii="Cambria" w:hAnsi="Cambria"/>
          <w:b/>
          <w:bCs/>
        </w:rPr>
      </w:pPr>
      <w:r w:rsidRPr="000C1828">
        <w:rPr>
          <w:rFonts w:ascii="Cambria" w:hAnsi="Cambria"/>
          <w:b/>
          <w:bCs/>
        </w:rPr>
        <w:t>Pessimistic Beliefs and public support for carbon taxation</w:t>
      </w:r>
    </w:p>
    <w:p w14:paraId="069FBDC4" w14:textId="41DE5B5A" w:rsidR="00B56FBA" w:rsidRDefault="00B56FBA" w:rsidP="00B56FBA">
      <w:pPr>
        <w:spacing w:line="276" w:lineRule="auto"/>
        <w:jc w:val="both"/>
        <w:rPr>
          <w:rFonts w:ascii="Cambria" w:hAnsi="Cambria"/>
        </w:rPr>
      </w:pPr>
      <w:r w:rsidRPr="000C1828">
        <w:rPr>
          <w:rFonts w:ascii="Cambria" w:hAnsi="Cambria"/>
        </w:rPr>
        <w:t xml:space="preserve">In Douenne and Fabre (2022), we assess the </w:t>
      </w:r>
      <w:r w:rsidR="00DD2F10">
        <w:rPr>
          <w:rFonts w:ascii="Cambria" w:hAnsi="Cambria"/>
        </w:rPr>
        <w:t>attitudes toward</w:t>
      </w:r>
      <w:r w:rsidRPr="000C1828">
        <w:rPr>
          <w:rFonts w:ascii="Cambria" w:hAnsi="Cambria"/>
        </w:rPr>
        <w:t xml:space="preserve"> a carbon tax and dividend in France </w:t>
      </w:r>
      <w:r w:rsidR="00DD2F10">
        <w:rPr>
          <w:rFonts w:ascii="Cambria" w:hAnsi="Cambria"/>
        </w:rPr>
        <w:t>during</w:t>
      </w:r>
      <w:r w:rsidRPr="000C1828">
        <w:rPr>
          <w:rFonts w:ascii="Cambria" w:hAnsi="Cambria"/>
        </w:rPr>
        <w:t xml:space="preserve"> the Yellow Vests movement. We created a survey administered over 3,000 respondents representative of the French population</w:t>
      </w:r>
      <w:r>
        <w:rPr>
          <w:rFonts w:ascii="Cambria" w:hAnsi="Cambria"/>
        </w:rPr>
        <w:t xml:space="preserve"> in February/March 2019</w:t>
      </w:r>
      <w:r w:rsidRPr="000C1828">
        <w:rPr>
          <w:rFonts w:ascii="Cambria" w:hAnsi="Cambria"/>
        </w:rPr>
        <w:t>. We presented to respondents a budget</w:t>
      </w:r>
      <w:r>
        <w:rPr>
          <w:rFonts w:ascii="Cambria" w:hAnsi="Cambria"/>
        </w:rPr>
        <w:t>-</w:t>
      </w:r>
      <w:r w:rsidRPr="000C1828">
        <w:rPr>
          <w:rFonts w:ascii="Cambria" w:hAnsi="Cambria"/>
        </w:rPr>
        <w:t>neutral 50</w:t>
      </w:r>
      <w:bookmarkStart w:id="0" w:name="_Hlk97888820"/>
      <w:r w:rsidRPr="000C1828">
        <w:rPr>
          <w:rFonts w:ascii="Cambria" w:hAnsi="Cambria"/>
        </w:rPr>
        <w:t>€/tCO</w:t>
      </w:r>
      <w:r w:rsidRPr="000C1828">
        <w:rPr>
          <w:rFonts w:ascii="Cambria" w:hAnsi="Cambria"/>
          <w:vertAlign w:val="subscript"/>
        </w:rPr>
        <w:t>2</w:t>
      </w:r>
      <w:r w:rsidRPr="000C1828">
        <w:rPr>
          <w:rFonts w:ascii="Cambria" w:hAnsi="Cambria"/>
        </w:rPr>
        <w:t xml:space="preserve"> </w:t>
      </w:r>
      <w:bookmarkEnd w:id="0"/>
      <w:r w:rsidRPr="000C1828">
        <w:rPr>
          <w:rFonts w:ascii="Cambria" w:hAnsi="Cambria"/>
        </w:rPr>
        <w:t xml:space="preserve">carbon tax and dividend policy, with information </w:t>
      </w:r>
      <w:r>
        <w:rPr>
          <w:rFonts w:ascii="Cambria" w:hAnsi="Cambria"/>
        </w:rPr>
        <w:t>on</w:t>
      </w:r>
      <w:r w:rsidRPr="000C1828">
        <w:rPr>
          <w:rFonts w:ascii="Cambria" w:hAnsi="Cambria"/>
        </w:rPr>
        <w:t xml:space="preserve"> the effect on energy prices </w:t>
      </w:r>
      <w:r>
        <w:rPr>
          <w:rFonts w:ascii="Cambria" w:hAnsi="Cambria"/>
        </w:rPr>
        <w:t>(e.g., +0.11€ per liter of gasoline)</w:t>
      </w:r>
      <w:r w:rsidRPr="000C1828">
        <w:rPr>
          <w:rFonts w:ascii="Cambria" w:hAnsi="Cambria"/>
        </w:rPr>
        <w:t xml:space="preserve"> and the transfer that each household would receive</w:t>
      </w:r>
      <w:r>
        <w:rPr>
          <w:rFonts w:ascii="Cambria" w:hAnsi="Cambria"/>
        </w:rPr>
        <w:t xml:space="preserve"> (110€/year for each adult)</w:t>
      </w:r>
      <w:r w:rsidRPr="000C1828">
        <w:rPr>
          <w:rFonts w:ascii="Cambria" w:hAnsi="Cambria"/>
        </w:rPr>
        <w:t xml:space="preserve">. We find that people largely reject this proposal: </w:t>
      </w:r>
      <w:r>
        <w:rPr>
          <w:rFonts w:ascii="Cambria" w:hAnsi="Cambria"/>
        </w:rPr>
        <w:t xml:space="preserve">only </w:t>
      </w:r>
      <w:r w:rsidRPr="000C1828">
        <w:rPr>
          <w:rFonts w:ascii="Cambria" w:hAnsi="Cambria"/>
        </w:rPr>
        <w:t xml:space="preserve">10% </w:t>
      </w:r>
      <w:r>
        <w:rPr>
          <w:rFonts w:ascii="Cambria" w:hAnsi="Cambria"/>
        </w:rPr>
        <w:t xml:space="preserve">of our survey respondents </w:t>
      </w:r>
      <w:r w:rsidRPr="000C1828">
        <w:rPr>
          <w:rFonts w:ascii="Cambria" w:hAnsi="Cambria"/>
        </w:rPr>
        <w:t>approve</w:t>
      </w:r>
      <w:r>
        <w:rPr>
          <w:rFonts w:ascii="Cambria" w:hAnsi="Cambria"/>
        </w:rPr>
        <w:t>,</w:t>
      </w:r>
      <w:r w:rsidRPr="000C1828">
        <w:rPr>
          <w:rFonts w:ascii="Cambria" w:hAnsi="Cambria"/>
        </w:rPr>
        <w:t xml:space="preserve"> while 70% </w:t>
      </w:r>
      <w:r w:rsidR="00F7548C">
        <w:rPr>
          <w:rFonts w:ascii="Cambria" w:hAnsi="Cambria"/>
        </w:rPr>
        <w:t>do not accept the reform</w:t>
      </w:r>
      <w:r w:rsidRPr="000C1828">
        <w:rPr>
          <w:rFonts w:ascii="Cambria" w:hAnsi="Cambria"/>
        </w:rPr>
        <w:t xml:space="preserve">. </w:t>
      </w:r>
      <w:r w:rsidR="00DD2F10">
        <w:rPr>
          <w:rFonts w:ascii="Cambria" w:hAnsi="Cambria"/>
        </w:rPr>
        <w:t xml:space="preserve">This level of rejection is very high compared to what has been measured before or after the Yellow Vests movement, where about half of the population is found to </w:t>
      </w:r>
      <w:r w:rsidR="00F7462A">
        <w:rPr>
          <w:rFonts w:ascii="Cambria" w:hAnsi="Cambria"/>
        </w:rPr>
        <w:t>accept</w:t>
      </w:r>
      <w:r w:rsidR="00F7462A">
        <w:rPr>
          <w:rFonts w:ascii="Cambria" w:hAnsi="Cambria"/>
        </w:rPr>
        <w:t xml:space="preserve"> </w:t>
      </w:r>
      <w:r w:rsidR="00DD2F10">
        <w:rPr>
          <w:rFonts w:ascii="Cambria" w:hAnsi="Cambria"/>
        </w:rPr>
        <w:t>an</w:t>
      </w:r>
      <w:r w:rsidR="00F7462A">
        <w:rPr>
          <w:rFonts w:ascii="Cambria" w:hAnsi="Cambria"/>
        </w:rPr>
        <w:t xml:space="preserve"> unspecified</w:t>
      </w:r>
      <w:r w:rsidR="00DD2F10">
        <w:rPr>
          <w:rFonts w:ascii="Cambria" w:hAnsi="Cambria"/>
        </w:rPr>
        <w:t xml:space="preserve"> increase in the carbon tax (ADEME, 2020). Thus, a </w:t>
      </w:r>
      <w:r w:rsidR="00F7462A">
        <w:rPr>
          <w:rFonts w:ascii="Cambria" w:hAnsi="Cambria"/>
        </w:rPr>
        <w:lastRenderedPageBreak/>
        <w:t>first in</w:t>
      </w:r>
      <w:r w:rsidR="00DD2F10">
        <w:rPr>
          <w:rFonts w:ascii="Cambria" w:hAnsi="Cambria"/>
        </w:rPr>
        <w:t>sight from our survey is that public opinion can be very volatile and strongly reacts to contemporary events.</w:t>
      </w:r>
    </w:p>
    <w:p w14:paraId="393FC532" w14:textId="77777777" w:rsidR="00DD2F10" w:rsidRDefault="00DD2F10" w:rsidP="00DD2F10">
      <w:pPr>
        <w:keepNext/>
        <w:spacing w:line="276" w:lineRule="auto"/>
        <w:jc w:val="center"/>
      </w:pPr>
      <w:r>
        <w:rPr>
          <w:rFonts w:ascii="Cambria" w:hAnsi="Cambria"/>
          <w:b/>
          <w:bCs/>
          <w:noProof/>
        </w:rPr>
        <w:drawing>
          <wp:inline distT="0" distB="0" distL="0" distR="0" wp14:anchorId="0FDD18CC" wp14:editId="300CFDD0">
            <wp:extent cx="2919095" cy="2205355"/>
            <wp:effectExtent l="0" t="0" r="0" b="4445"/>
            <wp:docPr id="2" name="Picture 2" descr="C:\Users\afabre\AppData\Local\Microsoft\Windows\INetCache\Content.Word\cdf_carbon_tax_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fabre\AppData\Local\Microsoft\Windows\INetCache\Content.Word\cdf_carbon_tax_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9095" cy="2205355"/>
                    </a:xfrm>
                    <a:prstGeom prst="rect">
                      <a:avLst/>
                    </a:prstGeom>
                    <a:noFill/>
                    <a:ln>
                      <a:noFill/>
                    </a:ln>
                  </pic:spPr>
                </pic:pic>
              </a:graphicData>
            </a:graphic>
          </wp:inline>
        </w:drawing>
      </w:r>
    </w:p>
    <w:p w14:paraId="5E7CE375" w14:textId="77777777" w:rsidR="00DD2F10" w:rsidRPr="000C1828" w:rsidRDefault="00DD2F10" w:rsidP="00DD2F10">
      <w:pPr>
        <w:pStyle w:val="Caption"/>
        <w:jc w:val="center"/>
        <w:rPr>
          <w:rFonts w:ascii="Cambria" w:hAnsi="Cambria"/>
          <w:b/>
          <w:bCs/>
        </w:rPr>
      </w:pPr>
      <w:r>
        <w:t xml:space="preserve">Figure </w:t>
      </w:r>
      <w:r w:rsidR="00992F52">
        <w:fldChar w:fldCharType="begin"/>
      </w:r>
      <w:r w:rsidR="00992F52">
        <w:instrText xml:space="preserve"> SEQ Figure \* ARABIC </w:instrText>
      </w:r>
      <w:r w:rsidR="00992F52">
        <w:fldChar w:fldCharType="separate"/>
      </w:r>
      <w:r w:rsidR="003C2F1A">
        <w:rPr>
          <w:noProof/>
        </w:rPr>
        <w:t>1</w:t>
      </w:r>
      <w:r w:rsidR="00992F52">
        <w:rPr>
          <w:noProof/>
        </w:rPr>
        <w:fldChar w:fldCharType="end"/>
      </w:r>
      <w:r>
        <w:t xml:space="preserve"> </w:t>
      </w:r>
      <w:r>
        <w:rPr>
          <w:sz w:val="21"/>
          <w:szCs w:val="21"/>
        </w:rPr>
        <w:t xml:space="preserve">CDF of objective (dark blue) vs. subjective (orange) net gains from our Tax &amp; Dividend. </w:t>
      </w:r>
      <w:r>
        <w:t>Dashed blue lines represent distributions of objective gains in the extreme case of totally inelastic expenditures. Vertical dotted orange lines show the limits of intervals answers of subjective gains.</w:t>
      </w:r>
    </w:p>
    <w:p w14:paraId="782EE69A" w14:textId="4CFF4D96" w:rsidR="00C07892" w:rsidRDefault="00B56FBA" w:rsidP="00B56FBA">
      <w:pPr>
        <w:spacing w:line="276" w:lineRule="auto"/>
        <w:jc w:val="both"/>
        <w:rPr>
          <w:rFonts w:ascii="Cambria" w:hAnsi="Cambria"/>
        </w:rPr>
      </w:pPr>
      <w:r>
        <w:rPr>
          <w:rFonts w:ascii="Cambria" w:hAnsi="Cambria"/>
        </w:rPr>
        <w:t>W</w:t>
      </w:r>
      <w:r w:rsidRPr="000C1828">
        <w:rPr>
          <w:rFonts w:ascii="Cambria" w:hAnsi="Cambria"/>
        </w:rPr>
        <w:t xml:space="preserve">e </w:t>
      </w:r>
      <w:r w:rsidR="00C07892">
        <w:rPr>
          <w:rFonts w:ascii="Cambria" w:hAnsi="Cambria"/>
        </w:rPr>
        <w:t>then</w:t>
      </w:r>
      <w:r w:rsidRPr="000C1828">
        <w:rPr>
          <w:rFonts w:ascii="Cambria" w:hAnsi="Cambria"/>
        </w:rPr>
        <w:t xml:space="preserve"> show that people hold </w:t>
      </w:r>
      <w:r>
        <w:rPr>
          <w:rFonts w:ascii="Cambria" w:hAnsi="Cambria"/>
        </w:rPr>
        <w:t>pessimistic</w:t>
      </w:r>
      <w:r w:rsidRPr="000C1828">
        <w:rPr>
          <w:rFonts w:ascii="Cambria" w:hAnsi="Cambria"/>
        </w:rPr>
        <w:t xml:space="preserve"> beliefs about </w:t>
      </w:r>
      <w:r>
        <w:rPr>
          <w:rFonts w:ascii="Cambria" w:hAnsi="Cambria"/>
        </w:rPr>
        <w:t>th</w:t>
      </w:r>
      <w:r w:rsidR="00DD2F10">
        <w:rPr>
          <w:rFonts w:ascii="Cambria" w:hAnsi="Cambria"/>
        </w:rPr>
        <w:t>e</w:t>
      </w:r>
      <w:r>
        <w:rPr>
          <w:rFonts w:ascii="Cambria" w:hAnsi="Cambria"/>
        </w:rPr>
        <w:t xml:space="preserve"> policy</w:t>
      </w:r>
      <w:r w:rsidR="00AE64ED">
        <w:rPr>
          <w:rFonts w:ascii="Cambria" w:hAnsi="Cambria"/>
        </w:rPr>
        <w:t xml:space="preserve">. Using household budget survey data, we </w:t>
      </w:r>
      <w:r w:rsidRPr="000C1828">
        <w:rPr>
          <w:rFonts w:ascii="Cambria" w:hAnsi="Cambria"/>
        </w:rPr>
        <w:t xml:space="preserve">estimate that 70% of households </w:t>
      </w:r>
      <w:r w:rsidR="00AE64ED">
        <w:rPr>
          <w:rFonts w:ascii="Cambria" w:hAnsi="Cambria"/>
        </w:rPr>
        <w:t>would</w:t>
      </w:r>
      <w:r w:rsidRPr="000C1828">
        <w:rPr>
          <w:rFonts w:ascii="Cambria" w:hAnsi="Cambria"/>
        </w:rPr>
        <w:t xml:space="preserve"> financially win from the policy</w:t>
      </w:r>
      <w:r w:rsidR="00AE64ED">
        <w:rPr>
          <w:rFonts w:ascii="Cambria" w:hAnsi="Cambria"/>
        </w:rPr>
        <w:t xml:space="preserve"> (see solid</w:t>
      </w:r>
      <w:r w:rsidR="00AE64ED" w:rsidRPr="00AE64ED">
        <w:rPr>
          <w:rFonts w:ascii="Cambria" w:hAnsi="Cambria"/>
        </w:rPr>
        <w:t xml:space="preserve"> </w:t>
      </w:r>
      <w:r w:rsidR="00AE64ED">
        <w:rPr>
          <w:rFonts w:ascii="Cambria" w:hAnsi="Cambria"/>
        </w:rPr>
        <w:t xml:space="preserve">blue line in Figure 1). In </w:t>
      </w:r>
      <w:r w:rsidR="008A644E">
        <w:rPr>
          <w:rFonts w:ascii="Cambria" w:hAnsi="Cambria"/>
        </w:rPr>
        <w:t xml:space="preserve">our own </w:t>
      </w:r>
      <w:r w:rsidR="00AE64ED">
        <w:rPr>
          <w:rFonts w:ascii="Cambria" w:hAnsi="Cambria"/>
        </w:rPr>
        <w:t>survey</w:t>
      </w:r>
      <w:r w:rsidR="008A644E">
        <w:rPr>
          <w:rFonts w:ascii="Cambria" w:hAnsi="Cambria"/>
        </w:rPr>
        <w:t xml:space="preserve"> experiment</w:t>
      </w:r>
      <w:r w:rsidR="00AE64ED">
        <w:rPr>
          <w:rFonts w:ascii="Cambria" w:hAnsi="Cambria"/>
        </w:rPr>
        <w:t>, we ask respondents to estimate their expected gain or loss from the reform (we proceed step by step, asking separately for the impact on their heating and transport expenditures). O</w:t>
      </w:r>
      <w:r w:rsidRPr="000C1828">
        <w:rPr>
          <w:rFonts w:ascii="Cambria" w:hAnsi="Cambria"/>
        </w:rPr>
        <w:t xml:space="preserve">nly 14% think that </w:t>
      </w:r>
      <w:r w:rsidR="00AE64ED">
        <w:rPr>
          <w:rFonts w:ascii="Cambria" w:hAnsi="Cambria"/>
        </w:rPr>
        <w:t xml:space="preserve">their household </w:t>
      </w:r>
      <w:r>
        <w:rPr>
          <w:rFonts w:ascii="Cambria" w:hAnsi="Cambria"/>
        </w:rPr>
        <w:t xml:space="preserve">would </w:t>
      </w:r>
      <w:r w:rsidR="00C07892">
        <w:rPr>
          <w:rFonts w:ascii="Cambria" w:hAnsi="Cambria"/>
        </w:rPr>
        <w:t>win through the reform</w:t>
      </w:r>
      <w:r w:rsidRPr="000C1828">
        <w:rPr>
          <w:rFonts w:ascii="Cambria" w:hAnsi="Cambria"/>
        </w:rPr>
        <w:t>.</w:t>
      </w:r>
      <w:r w:rsidR="00C07892">
        <w:rPr>
          <w:rFonts w:ascii="Cambria" w:hAnsi="Cambria"/>
        </w:rPr>
        <w:t xml:space="preserve"> This pessimism cannot be explained by an ignorance of price elasticities as respondents correctly estimate them in another question, and the gap between perceived and actual net gain</w:t>
      </w:r>
      <w:r w:rsidR="00032497">
        <w:rPr>
          <w:rFonts w:ascii="Cambria" w:hAnsi="Cambria"/>
        </w:rPr>
        <w:t>s</w:t>
      </w:r>
      <w:r w:rsidR="00C07892">
        <w:rPr>
          <w:rFonts w:ascii="Cambria" w:hAnsi="Cambria"/>
        </w:rPr>
        <w:t xml:space="preserve"> would still be too large if the respondents assumed that their expenditures </w:t>
      </w:r>
      <w:r w:rsidR="002172A7">
        <w:rPr>
          <w:rFonts w:ascii="Cambria" w:hAnsi="Cambria"/>
        </w:rPr>
        <w:t>we</w:t>
      </w:r>
      <w:r w:rsidR="00C07892">
        <w:rPr>
          <w:rFonts w:ascii="Cambria" w:hAnsi="Cambria"/>
        </w:rPr>
        <w:t>re inelastic.</w:t>
      </w:r>
      <w:r w:rsidRPr="000C1828">
        <w:rPr>
          <w:rFonts w:ascii="Cambria" w:hAnsi="Cambria"/>
        </w:rPr>
        <w:t xml:space="preserve"> Similarly, respondents are pessimistic about the </w:t>
      </w:r>
      <w:r>
        <w:rPr>
          <w:rFonts w:ascii="Cambria" w:hAnsi="Cambria"/>
        </w:rPr>
        <w:t>distributional</w:t>
      </w:r>
      <w:r w:rsidRPr="000C1828">
        <w:rPr>
          <w:rFonts w:ascii="Cambria" w:hAnsi="Cambria"/>
        </w:rPr>
        <w:t xml:space="preserve"> and environmental effects of the policy</w:t>
      </w:r>
      <w:r w:rsidR="00C07892">
        <w:rPr>
          <w:rFonts w:ascii="Cambria" w:hAnsi="Cambria"/>
        </w:rPr>
        <w:t xml:space="preserve">: </w:t>
      </w:r>
      <w:r w:rsidR="00065F7B">
        <w:rPr>
          <w:rFonts w:ascii="Cambria" w:hAnsi="Cambria"/>
        </w:rPr>
        <w:t>only 20</w:t>
      </w:r>
      <w:r w:rsidR="00C07892">
        <w:rPr>
          <w:rFonts w:ascii="Cambria" w:hAnsi="Cambria"/>
        </w:rPr>
        <w:t xml:space="preserve">% believe that the policy would benefit poorer households and </w:t>
      </w:r>
      <w:r w:rsidR="00065F7B">
        <w:rPr>
          <w:rFonts w:ascii="Cambria" w:hAnsi="Cambria"/>
        </w:rPr>
        <w:t>17</w:t>
      </w:r>
      <w:r w:rsidR="00C07892">
        <w:rPr>
          <w:rFonts w:ascii="Cambria" w:hAnsi="Cambria"/>
        </w:rPr>
        <w:t>% think that the policy would be effective in reducing polluting and fighting climate change</w:t>
      </w:r>
      <w:r w:rsidRPr="000C1828">
        <w:rPr>
          <w:rFonts w:ascii="Cambria" w:hAnsi="Cambria"/>
        </w:rPr>
        <w:t xml:space="preserve">. </w:t>
      </w:r>
    </w:p>
    <w:p w14:paraId="3A519FC0" w14:textId="768FFF5A" w:rsidR="00B56FBA" w:rsidRDefault="00B56FBA" w:rsidP="00AA3E44">
      <w:pPr>
        <w:spacing w:line="276" w:lineRule="auto"/>
        <w:jc w:val="both"/>
        <w:rPr>
          <w:rFonts w:ascii="Cambria" w:hAnsi="Cambria"/>
          <w:b/>
          <w:bCs/>
        </w:rPr>
      </w:pPr>
      <w:r w:rsidRPr="000C1828">
        <w:rPr>
          <w:rFonts w:ascii="Cambria" w:hAnsi="Cambria"/>
        </w:rPr>
        <w:t>We also find that the more people are opposed to the po</w:t>
      </w:r>
      <w:r w:rsidR="00C07892">
        <w:rPr>
          <w:rFonts w:ascii="Cambria" w:hAnsi="Cambria"/>
        </w:rPr>
        <w:t>licy, the more pessimistic</w:t>
      </w:r>
      <w:r w:rsidRPr="000C1828">
        <w:rPr>
          <w:rFonts w:ascii="Cambria" w:hAnsi="Cambria"/>
        </w:rPr>
        <w:t xml:space="preserve"> they are, and that the causality between beliefs and opposition </w:t>
      </w:r>
      <w:r>
        <w:rPr>
          <w:rFonts w:ascii="Cambria" w:hAnsi="Cambria"/>
        </w:rPr>
        <w:t>runs both ways</w:t>
      </w:r>
      <w:r w:rsidRPr="000C1828">
        <w:rPr>
          <w:rFonts w:ascii="Cambria" w:hAnsi="Cambria"/>
        </w:rPr>
        <w:t xml:space="preserve">. On the one hand, when provided </w:t>
      </w:r>
      <w:r>
        <w:rPr>
          <w:rFonts w:ascii="Cambria" w:hAnsi="Cambria"/>
        </w:rPr>
        <w:t xml:space="preserve">with </w:t>
      </w:r>
      <w:r w:rsidRPr="000C1828">
        <w:rPr>
          <w:rFonts w:ascii="Cambria" w:hAnsi="Cambria"/>
        </w:rPr>
        <w:t xml:space="preserve">new information about the </w:t>
      </w:r>
      <w:r>
        <w:rPr>
          <w:rFonts w:ascii="Cambria" w:hAnsi="Cambria"/>
        </w:rPr>
        <w:t>policy</w:t>
      </w:r>
      <w:r w:rsidRPr="000C1828">
        <w:rPr>
          <w:rFonts w:ascii="Cambria" w:hAnsi="Cambria"/>
        </w:rPr>
        <w:t>, people discard positive news but correctly process negative ones. This phenomenon is stronger for</w:t>
      </w:r>
      <w:r>
        <w:rPr>
          <w:rFonts w:ascii="Cambria" w:hAnsi="Cambria"/>
        </w:rPr>
        <w:t xml:space="preserve"> </w:t>
      </w:r>
      <w:r w:rsidR="00C07892">
        <w:rPr>
          <w:rFonts w:ascii="Cambria" w:hAnsi="Cambria"/>
        </w:rPr>
        <w:t>people who initially oppose the policy or who feel close to the Yellow Vests</w:t>
      </w:r>
      <w:r w:rsidRPr="000C1828">
        <w:rPr>
          <w:rFonts w:ascii="Cambria" w:hAnsi="Cambria"/>
        </w:rPr>
        <w:t>, which is consistent with</w:t>
      </w:r>
      <w:r>
        <w:rPr>
          <w:rFonts w:ascii="Cambria" w:hAnsi="Cambria"/>
        </w:rPr>
        <w:t xml:space="preserve"> the</w:t>
      </w:r>
      <w:r w:rsidRPr="000C1828">
        <w:rPr>
          <w:rFonts w:ascii="Cambria" w:hAnsi="Cambria"/>
        </w:rPr>
        <w:t xml:space="preserve"> endogenous formation of beliefs through motivated reasoning. </w:t>
      </w:r>
      <w:r>
        <w:rPr>
          <w:rFonts w:ascii="Cambria" w:hAnsi="Cambria"/>
        </w:rPr>
        <w:t>In other words</w:t>
      </w:r>
      <w:r w:rsidRPr="000C1828">
        <w:rPr>
          <w:rFonts w:ascii="Cambria" w:hAnsi="Cambria"/>
        </w:rPr>
        <w:t xml:space="preserve">, the less people like the policy, the less likely they are to </w:t>
      </w:r>
      <w:r w:rsidR="00C07892">
        <w:rPr>
          <w:rFonts w:ascii="Cambria" w:hAnsi="Cambria"/>
        </w:rPr>
        <w:t>assimilate</w:t>
      </w:r>
      <w:r w:rsidRPr="000C1828">
        <w:rPr>
          <w:rFonts w:ascii="Cambria" w:hAnsi="Cambria"/>
        </w:rPr>
        <w:t xml:space="preserve"> positive information about it. On the other hand, our survey design enables us to show that beliefs also causally determine support for the policy: when convinced that they would </w:t>
      </w:r>
      <w:r>
        <w:rPr>
          <w:rFonts w:ascii="Cambria" w:hAnsi="Cambria"/>
        </w:rPr>
        <w:t xml:space="preserve">financially </w:t>
      </w:r>
      <w:r w:rsidRPr="000C1828">
        <w:rPr>
          <w:rFonts w:ascii="Cambria" w:hAnsi="Cambria"/>
        </w:rPr>
        <w:t xml:space="preserve">gain, people’s likelihood to accept the policy increases by 50 p.p. Similarly, the likelihood to support it is 40 p.p. higher when people are convinced that the policy would </w:t>
      </w:r>
      <w:r w:rsidR="00C07892">
        <w:rPr>
          <w:rFonts w:ascii="Cambria" w:hAnsi="Cambria"/>
        </w:rPr>
        <w:t>effectively reduce emissions</w:t>
      </w:r>
      <w:r w:rsidRPr="000C1828">
        <w:rPr>
          <w:rFonts w:ascii="Cambria" w:hAnsi="Cambria"/>
        </w:rPr>
        <w:t xml:space="preserve">. </w:t>
      </w:r>
      <w:r w:rsidR="00C07892" w:rsidRPr="00C07892">
        <w:rPr>
          <w:rFonts w:ascii="Cambria" w:hAnsi="Cambria"/>
        </w:rPr>
        <w:t xml:space="preserve">To obtain causal effects, beliefs about environmental effectiveness are instrumented by </w:t>
      </w:r>
      <w:r w:rsidR="00C07892">
        <w:rPr>
          <w:rFonts w:ascii="Cambria" w:hAnsi="Cambria"/>
        </w:rPr>
        <w:t>randomly providing (or not) i</w:t>
      </w:r>
      <w:r w:rsidR="00C07892" w:rsidRPr="00C07892">
        <w:rPr>
          <w:rFonts w:ascii="Cambria" w:hAnsi="Cambria"/>
        </w:rPr>
        <w:t xml:space="preserve">nformation </w:t>
      </w:r>
      <w:r w:rsidR="00C07892">
        <w:rPr>
          <w:rFonts w:ascii="Cambria" w:hAnsi="Cambria"/>
        </w:rPr>
        <w:t>that there is a scientific consensus on the effectiveness of carbon taxation</w:t>
      </w:r>
      <w:r w:rsidR="00C07892" w:rsidRPr="00C07892">
        <w:rPr>
          <w:rFonts w:ascii="Cambria" w:hAnsi="Cambria"/>
        </w:rPr>
        <w:t xml:space="preserve">. Beliefs about one’s own gains are instrumented with two independent designs that both lead to </w:t>
      </w:r>
      <w:r w:rsidR="00532E34" w:rsidRPr="00C07892">
        <w:rPr>
          <w:rFonts w:ascii="Cambria" w:hAnsi="Cambria"/>
        </w:rPr>
        <w:t>very similar outcomes</w:t>
      </w:r>
      <w:r w:rsidR="00532E34">
        <w:rPr>
          <w:rFonts w:ascii="Cambria" w:hAnsi="Cambria"/>
        </w:rPr>
        <w:t xml:space="preserve">. Our preferred </w:t>
      </w:r>
      <w:r w:rsidR="002D28C6">
        <w:rPr>
          <w:rFonts w:ascii="Cambria" w:hAnsi="Cambria"/>
        </w:rPr>
        <w:t xml:space="preserve">design </w:t>
      </w:r>
      <w:r w:rsidR="00532E34">
        <w:rPr>
          <w:rFonts w:ascii="Cambria" w:hAnsi="Cambria"/>
        </w:rPr>
        <w:t xml:space="preserve">uses variants of the main policy where the dividend is targeted to the bottom 20%, 30%, 40%, </w:t>
      </w:r>
      <w:r w:rsidR="00532E34">
        <w:rPr>
          <w:rFonts w:ascii="Cambria" w:hAnsi="Cambria"/>
        </w:rPr>
        <w:lastRenderedPageBreak/>
        <w:t>or 50% of the income distribution. Each respondent is randomly assigned a variant where ze is either eligible to the dividend or not. For example, a respondent at the 35</w:t>
      </w:r>
      <w:r w:rsidR="00532E34" w:rsidRPr="00532E34">
        <w:rPr>
          <w:rFonts w:ascii="Cambria" w:hAnsi="Cambria"/>
          <w:vertAlign w:val="superscript"/>
        </w:rPr>
        <w:t>th</w:t>
      </w:r>
      <w:r w:rsidR="00532E34">
        <w:rPr>
          <w:rFonts w:ascii="Cambria" w:hAnsi="Cambria"/>
          <w:vertAlign w:val="superscript"/>
        </w:rPr>
        <w:t>.</w:t>
      </w:r>
      <w:r w:rsidR="00532E34">
        <w:rPr>
          <w:rFonts w:ascii="Cambria" w:hAnsi="Cambria"/>
        </w:rPr>
        <w:t xml:space="preserve"> percentile of the income distribution has equal chances to be assigned the reform targeted to the bottom 40% (</w:t>
      </w:r>
      <w:r w:rsidR="002D28C6">
        <w:rPr>
          <w:rFonts w:ascii="Cambria" w:hAnsi="Cambria"/>
        </w:rPr>
        <w:t>w</w:t>
      </w:r>
      <w:r w:rsidR="00532E34">
        <w:rPr>
          <w:rFonts w:ascii="Cambria" w:hAnsi="Cambria"/>
        </w:rPr>
        <w:t xml:space="preserve">here ze is eligible) or 30% (not eligible). This random </w:t>
      </w:r>
      <w:r w:rsidR="00F7548C">
        <w:rPr>
          <w:rFonts w:ascii="Cambria" w:hAnsi="Cambria"/>
        </w:rPr>
        <w:t xml:space="preserve">assignment creates an exogenous variation in the belief to win or lose from the tax and targeted dividend. Under the credible assumption that, conditional on income and controlling for the variant, eligibility affects acceptance only through the belief of </w:t>
      </w:r>
      <w:r w:rsidR="002172A7" w:rsidRPr="00C07892">
        <w:rPr>
          <w:rFonts w:ascii="Cambria" w:hAnsi="Cambria"/>
        </w:rPr>
        <w:t>one’s own gain</w:t>
      </w:r>
      <w:r w:rsidR="00F7548C">
        <w:rPr>
          <w:rFonts w:ascii="Cambria" w:hAnsi="Cambria"/>
        </w:rPr>
        <w:t xml:space="preserve">, </w:t>
      </w:r>
      <w:r w:rsidR="002172A7">
        <w:rPr>
          <w:rFonts w:ascii="Cambria" w:hAnsi="Cambria"/>
        </w:rPr>
        <w:t xml:space="preserve">our </w:t>
      </w:r>
      <w:r w:rsidR="002172A7" w:rsidRPr="00C07892">
        <w:rPr>
          <w:rFonts w:ascii="Cambria" w:hAnsi="Cambria"/>
        </w:rPr>
        <w:t>fuzzy regression discontinuity design</w:t>
      </w:r>
      <w:r w:rsidR="00F7548C">
        <w:rPr>
          <w:rFonts w:ascii="Cambria" w:hAnsi="Cambria"/>
        </w:rPr>
        <w:t xml:space="preserve"> </w:t>
      </w:r>
      <w:r w:rsidR="002172A7">
        <w:rPr>
          <w:rFonts w:ascii="Cambria" w:hAnsi="Cambria"/>
        </w:rPr>
        <w:t>correctly identifies</w:t>
      </w:r>
      <w:r w:rsidR="00800720">
        <w:rPr>
          <w:rFonts w:ascii="Cambria" w:hAnsi="Cambria"/>
        </w:rPr>
        <w:t xml:space="preserve"> the causal effect of the belief that one loses on the acceptance of the reform</w:t>
      </w:r>
      <w:r w:rsidR="00C07892" w:rsidRPr="00C07892">
        <w:rPr>
          <w:rFonts w:ascii="Cambria" w:hAnsi="Cambria"/>
        </w:rPr>
        <w:t>.</w:t>
      </w:r>
      <w:r w:rsidR="00800720">
        <w:rPr>
          <w:rFonts w:ascii="Cambria" w:hAnsi="Cambria"/>
        </w:rPr>
        <w:t xml:space="preserve"> </w:t>
      </w:r>
      <w:r w:rsidR="009B4FC9">
        <w:rPr>
          <w:rFonts w:ascii="Cambria" w:hAnsi="Cambria"/>
        </w:rPr>
        <w:t>Figure 2 shows that acceptance of a given variant is indeed higher for those eligible to the dividend, i.e. on the left of the income eligibility threshold</w:t>
      </w:r>
      <w:r w:rsidR="002172A7">
        <w:rPr>
          <w:rFonts w:ascii="Cambria" w:hAnsi="Cambria"/>
        </w:rPr>
        <w:t>s</w:t>
      </w:r>
      <w:r w:rsidR="009B4FC9">
        <w:rPr>
          <w:rFonts w:ascii="Cambria" w:hAnsi="Cambria"/>
        </w:rPr>
        <w:t>.</w:t>
      </w:r>
    </w:p>
    <w:p w14:paraId="686A61B0" w14:textId="77777777" w:rsidR="009B4FC9" w:rsidRDefault="00F7462A" w:rsidP="009B4FC9">
      <w:pPr>
        <w:keepNext/>
        <w:spacing w:line="276" w:lineRule="auto"/>
        <w:jc w:val="center"/>
      </w:pPr>
      <w:r>
        <w:rPr>
          <w:rFonts w:ascii="Cambria" w:hAnsi="Cambria"/>
        </w:rPr>
        <w:pict w14:anchorId="7D71D4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5pt;height:284.55pt">
            <v:imagedata r:id="rId9" o:title="RDD_Acceptance_flat_90CI_black"/>
          </v:shape>
        </w:pict>
      </w:r>
    </w:p>
    <w:p w14:paraId="54328E14" w14:textId="77777777" w:rsidR="009B4FC9" w:rsidRDefault="009B4FC9" w:rsidP="009B4FC9">
      <w:pPr>
        <w:pStyle w:val="Caption"/>
        <w:jc w:val="center"/>
        <w:rPr>
          <w:rFonts w:ascii="Cambria" w:hAnsi="Cambria"/>
        </w:rPr>
      </w:pPr>
      <w:r>
        <w:t xml:space="preserve">Figure </w:t>
      </w:r>
      <w:r w:rsidR="00992F52">
        <w:fldChar w:fldCharType="begin"/>
      </w:r>
      <w:r w:rsidR="00992F52">
        <w:instrText xml:space="preserve"> SEQ Figure \* ARABIC </w:instrText>
      </w:r>
      <w:r w:rsidR="00992F52">
        <w:fldChar w:fldCharType="separate"/>
      </w:r>
      <w:r w:rsidR="003C2F1A">
        <w:rPr>
          <w:noProof/>
        </w:rPr>
        <w:t>2</w:t>
      </w:r>
      <w:r w:rsidR="00992F52">
        <w:rPr>
          <w:noProof/>
        </w:rPr>
        <w:fldChar w:fldCharType="end"/>
      </w:r>
      <w:r>
        <w:t xml:space="preserve"> Acceptance of a tax and targeted dividend in function of income (hence eligibility to the dividend) and of the variant’s target</w:t>
      </w:r>
      <w:r w:rsidR="002172A7">
        <w:t xml:space="preserve"> (one color per variant)</w:t>
      </w:r>
      <w:r>
        <w:t>. For example, acceptance rate is 43% for those eligible to the dividend in the reform targeted to the bottom 20%, while it falls at 36% for those who are not eligible.</w:t>
      </w:r>
    </w:p>
    <w:p w14:paraId="328179BF" w14:textId="1F315285" w:rsidR="00637092" w:rsidRPr="000C1828" w:rsidRDefault="00793B22" w:rsidP="00AA3E44">
      <w:pPr>
        <w:spacing w:line="276" w:lineRule="auto"/>
        <w:jc w:val="both"/>
        <w:rPr>
          <w:rFonts w:ascii="Cambria" w:hAnsi="Cambria"/>
        </w:rPr>
      </w:pPr>
      <w:r>
        <w:rPr>
          <w:rFonts w:ascii="Cambria" w:hAnsi="Cambria"/>
        </w:rPr>
        <w:t xml:space="preserve">The previous results </w:t>
      </w:r>
      <w:r w:rsidR="00617A2C">
        <w:rPr>
          <w:rFonts w:ascii="Cambria" w:hAnsi="Cambria"/>
        </w:rPr>
        <w:t xml:space="preserve">can </w:t>
      </w:r>
      <w:r>
        <w:rPr>
          <w:rFonts w:ascii="Cambria" w:hAnsi="Cambria"/>
        </w:rPr>
        <w:t>explain how widespread opposition can progressively build around carbon tax proposals:</w:t>
      </w:r>
      <w:r w:rsidR="00617A2C">
        <w:rPr>
          <w:rFonts w:ascii="Cambria" w:hAnsi="Cambria"/>
        </w:rPr>
        <w:t xml:space="preserve"> if opinions shape beliefs, that in turn determine opinions, people’s pessimism caused by previous (unfair) reforms could lead them to oppose new (fair) policies.</w:t>
      </w:r>
    </w:p>
    <w:p w14:paraId="2C285E1E" w14:textId="77777777" w:rsidR="00AA3E44" w:rsidRPr="000C1828" w:rsidRDefault="00AA3E44" w:rsidP="00AA3E44">
      <w:pPr>
        <w:spacing w:line="276" w:lineRule="auto"/>
        <w:jc w:val="both"/>
        <w:rPr>
          <w:rFonts w:ascii="Cambria" w:hAnsi="Cambria"/>
          <w:b/>
          <w:bCs/>
        </w:rPr>
      </w:pPr>
      <w:r w:rsidRPr="000C1828">
        <w:rPr>
          <w:rFonts w:ascii="Cambria" w:hAnsi="Cambria"/>
          <w:b/>
          <w:bCs/>
        </w:rPr>
        <w:t>An agenda for ambitious climate policies</w:t>
      </w:r>
    </w:p>
    <w:p w14:paraId="23AF748D" w14:textId="0599C1B8" w:rsidR="00B61FA3" w:rsidRPr="00B61FA3" w:rsidRDefault="00766780" w:rsidP="00766780">
      <w:pPr>
        <w:jc w:val="both"/>
        <w:rPr>
          <w:rFonts w:ascii="Cambria" w:hAnsi="Cambria"/>
        </w:rPr>
      </w:pPr>
      <w:r>
        <w:rPr>
          <w:rFonts w:ascii="Cambria" w:hAnsi="Cambria"/>
        </w:rPr>
        <w:t xml:space="preserve">While many French people reject a carbon tax with dividend, the vast majority is concerned about climate change and supports other policies, as we show in a companion paper using the same survey data (Douenne and Fabre, 2020). The main insights from this </w:t>
      </w:r>
      <w:r w:rsidR="008265BC">
        <w:rPr>
          <w:rFonts w:ascii="Cambria" w:hAnsi="Cambria"/>
        </w:rPr>
        <w:t>paper</w:t>
      </w:r>
      <w:r>
        <w:rPr>
          <w:rFonts w:ascii="Cambria" w:hAnsi="Cambria"/>
        </w:rPr>
        <w:t xml:space="preserve"> is that people </w:t>
      </w:r>
      <w:r w:rsidR="002D28C6">
        <w:rPr>
          <w:rFonts w:ascii="Cambria" w:hAnsi="Cambria"/>
        </w:rPr>
        <w:t xml:space="preserve">favor measures that bring co-benefits (like reduced air pollution), </w:t>
      </w:r>
      <w:r>
        <w:rPr>
          <w:rFonts w:ascii="Cambria" w:hAnsi="Cambria"/>
        </w:rPr>
        <w:t xml:space="preserve">prefer norms or subsidies to taxes, and strongly support public investments. </w:t>
      </w:r>
      <w:r w:rsidR="004A3719" w:rsidRPr="004A3719">
        <w:rPr>
          <w:rFonts w:ascii="Cambria" w:hAnsi="Cambria"/>
        </w:rPr>
        <w:t>A natural explanation for these preferences is that people favor policies whose costs are the least salient</w:t>
      </w:r>
      <w:r w:rsidR="004A3719">
        <w:rPr>
          <w:rFonts w:ascii="Cambria" w:hAnsi="Cambria"/>
        </w:rPr>
        <w:t>, even though they may be les</w:t>
      </w:r>
      <w:r w:rsidR="00073D76">
        <w:rPr>
          <w:rFonts w:ascii="Cambria" w:hAnsi="Cambria"/>
        </w:rPr>
        <w:t>s cost-effective (Levinson, 2018</w:t>
      </w:r>
      <w:bookmarkStart w:id="1" w:name="_GoBack"/>
      <w:bookmarkEnd w:id="1"/>
      <w:r w:rsidR="004A3719">
        <w:rPr>
          <w:rFonts w:ascii="Cambria" w:hAnsi="Cambria"/>
        </w:rPr>
        <w:t>)</w:t>
      </w:r>
      <w:r w:rsidR="004A3719" w:rsidRPr="004A3719">
        <w:rPr>
          <w:rFonts w:ascii="Cambria" w:hAnsi="Cambria"/>
        </w:rPr>
        <w:t xml:space="preserve">. Still, by </w:t>
      </w:r>
      <w:r w:rsidR="004A3719" w:rsidRPr="004A3719">
        <w:rPr>
          <w:rFonts w:ascii="Cambria" w:hAnsi="Cambria"/>
        </w:rPr>
        <w:lastRenderedPageBreak/>
        <w:t>providing alternatives to fossil fuels, these policies may also address critical obstacles to changing habits.</w:t>
      </w:r>
      <w:r w:rsidR="004A3719">
        <w:rPr>
          <w:rFonts w:ascii="Cambria" w:hAnsi="Cambria"/>
        </w:rPr>
        <w:t xml:space="preserve"> </w:t>
      </w:r>
      <w:r>
        <w:rPr>
          <w:rFonts w:ascii="Cambria" w:hAnsi="Cambria"/>
        </w:rPr>
        <w:t>Indeed, we find that a crucial obstacle to changing habits is the lack of alternatives to fossil fuels like public transportation.</w:t>
      </w:r>
      <w:r w:rsidR="00783853">
        <w:rPr>
          <w:rFonts w:ascii="Cambria" w:hAnsi="Cambria"/>
        </w:rPr>
        <w:t xml:space="preserve"> In line with the literature (e.g. Bergquist, Mildenberg and Stokes, 2020), we find that the progressivity of the policy package is</w:t>
      </w:r>
      <w:r w:rsidR="00857B3C">
        <w:rPr>
          <w:rFonts w:ascii="Cambria" w:hAnsi="Cambria"/>
        </w:rPr>
        <w:t xml:space="preserve"> also</w:t>
      </w:r>
      <w:r w:rsidR="00783853">
        <w:rPr>
          <w:rFonts w:ascii="Cambria" w:hAnsi="Cambria"/>
        </w:rPr>
        <w:t xml:space="preserve"> key for acceptance.</w:t>
      </w:r>
      <w:r>
        <w:rPr>
          <w:rFonts w:ascii="Cambria" w:hAnsi="Cambria"/>
        </w:rPr>
        <w:t xml:space="preserve"> These observations suggest the following path towards a successful decarbonization</w:t>
      </w:r>
      <w:r w:rsidR="00DF425E">
        <w:rPr>
          <w:rFonts w:ascii="Cambria" w:hAnsi="Cambria"/>
        </w:rPr>
        <w:t xml:space="preserve"> in France and Europe</w:t>
      </w:r>
      <w:r>
        <w:rPr>
          <w:rFonts w:ascii="Cambria" w:hAnsi="Cambria"/>
        </w:rPr>
        <w:t xml:space="preserve">. </w:t>
      </w:r>
      <w:r w:rsidR="00637092" w:rsidRPr="00637092">
        <w:rPr>
          <w:rFonts w:ascii="Cambria" w:hAnsi="Cambria"/>
        </w:rPr>
        <w:t xml:space="preserve">First and foremost, </w:t>
      </w:r>
      <w:r w:rsidR="00783853">
        <w:rPr>
          <w:rFonts w:ascii="Cambria" w:hAnsi="Cambria"/>
        </w:rPr>
        <w:t>an</w:t>
      </w:r>
      <w:r w:rsidR="00637092" w:rsidRPr="00637092">
        <w:rPr>
          <w:rFonts w:ascii="Cambria" w:hAnsi="Cambria"/>
        </w:rPr>
        <w:t xml:space="preserve"> information campaign</w:t>
      </w:r>
      <w:r w:rsidR="00637092">
        <w:rPr>
          <w:rFonts w:ascii="Cambria" w:hAnsi="Cambria"/>
        </w:rPr>
        <w:t xml:space="preserve"> </w:t>
      </w:r>
      <w:r w:rsidR="00637092" w:rsidRPr="00637092">
        <w:rPr>
          <w:rFonts w:ascii="Cambria" w:hAnsi="Cambria"/>
        </w:rPr>
        <w:t xml:space="preserve">could be launched to improve </w:t>
      </w:r>
      <w:r>
        <w:rPr>
          <w:rFonts w:ascii="Cambria" w:hAnsi="Cambria"/>
        </w:rPr>
        <w:t>understanding</w:t>
      </w:r>
      <w:r w:rsidR="00637092" w:rsidRPr="00637092">
        <w:rPr>
          <w:rFonts w:ascii="Cambria" w:hAnsi="Cambria"/>
        </w:rPr>
        <w:t xml:space="preserve"> about climate policies</w:t>
      </w:r>
      <w:r w:rsidR="00857B3C" w:rsidRPr="00413E12">
        <w:rPr>
          <w:rFonts w:ascii="Cambria" w:hAnsi="Cambria"/>
        </w:rPr>
        <w:t>—</w:t>
      </w:r>
      <w:r w:rsidR="00912577">
        <w:rPr>
          <w:rFonts w:ascii="Cambria" w:hAnsi="Cambria"/>
        </w:rPr>
        <w:t>that we find to be positively associated with the support for measures</w:t>
      </w:r>
      <w:r w:rsidR="00857B3C" w:rsidRPr="00413E12">
        <w:rPr>
          <w:rFonts w:ascii="Cambria" w:hAnsi="Cambria"/>
        </w:rPr>
        <w:t>—</w:t>
      </w:r>
      <w:r w:rsidR="00DF425E">
        <w:rPr>
          <w:rFonts w:ascii="Cambria" w:hAnsi="Cambria"/>
        </w:rPr>
        <w:t>and show that the European Green Deal addresses people’s fairness concerns</w:t>
      </w:r>
      <w:r w:rsidR="00637092" w:rsidRPr="00637092">
        <w:rPr>
          <w:rFonts w:ascii="Cambria" w:hAnsi="Cambria"/>
        </w:rPr>
        <w:t xml:space="preserve">. Second, the government could develop </w:t>
      </w:r>
      <w:r>
        <w:rPr>
          <w:rFonts w:ascii="Cambria" w:hAnsi="Cambria"/>
        </w:rPr>
        <w:t>alternatives to fossil fuels through diverse policies</w:t>
      </w:r>
      <w:r w:rsidR="00637092" w:rsidRPr="00637092">
        <w:rPr>
          <w:rFonts w:ascii="Cambria" w:hAnsi="Cambria"/>
        </w:rPr>
        <w:t>: investments, subsidies, and regulations in favor of</w:t>
      </w:r>
      <w:r w:rsidR="00637092">
        <w:rPr>
          <w:rFonts w:ascii="Cambria" w:hAnsi="Cambria"/>
        </w:rPr>
        <w:t xml:space="preserve"> </w:t>
      </w:r>
      <w:r w:rsidR="00637092" w:rsidRPr="00637092">
        <w:rPr>
          <w:rFonts w:ascii="Cambria" w:hAnsi="Cambria"/>
        </w:rPr>
        <w:t>public transport, cleaner vehicles and thermal insulation, etc.</w:t>
      </w:r>
      <w:r w:rsidR="004A3719">
        <w:rPr>
          <w:rFonts w:ascii="Cambria" w:hAnsi="Cambria"/>
        </w:rPr>
        <w:t xml:space="preserve"> (see </w:t>
      </w:r>
      <w:r w:rsidR="004A3719" w:rsidRPr="00C31451">
        <w:rPr>
          <w:rFonts w:ascii="Cambria" w:hAnsi="Cambria"/>
        </w:rPr>
        <w:t>D’Arcangelo</w:t>
      </w:r>
      <w:r w:rsidR="004A3719">
        <w:rPr>
          <w:rFonts w:ascii="Cambria" w:hAnsi="Cambria"/>
        </w:rPr>
        <w:t xml:space="preserve">, Levin, and Johansson, </w:t>
      </w:r>
      <w:r w:rsidR="004A3719" w:rsidRPr="00C31451">
        <w:rPr>
          <w:rFonts w:ascii="Cambria" w:hAnsi="Cambria"/>
        </w:rPr>
        <w:t>2022</w:t>
      </w:r>
      <w:r w:rsidR="0086245A">
        <w:rPr>
          <w:rFonts w:ascii="Cambria" w:hAnsi="Cambria"/>
        </w:rPr>
        <w:t>, for an assessment of various policies</w:t>
      </w:r>
      <w:r w:rsidR="004A3719">
        <w:rPr>
          <w:rFonts w:ascii="Cambria" w:hAnsi="Cambria"/>
        </w:rPr>
        <w:t>).</w:t>
      </w:r>
      <w:r w:rsidR="00637092" w:rsidRPr="00637092">
        <w:rPr>
          <w:rFonts w:ascii="Cambria" w:hAnsi="Cambria"/>
        </w:rPr>
        <w:t xml:space="preserve"> </w:t>
      </w:r>
      <w:r w:rsidRPr="00766780">
        <w:rPr>
          <w:rFonts w:ascii="Cambria" w:hAnsi="Cambria"/>
        </w:rPr>
        <w:t xml:space="preserve">Last but not least, </w:t>
      </w:r>
      <w:r w:rsidR="004A3719">
        <w:rPr>
          <w:rFonts w:ascii="Cambria" w:hAnsi="Cambria"/>
        </w:rPr>
        <w:t xml:space="preserve">the extension of </w:t>
      </w:r>
      <w:r>
        <w:rPr>
          <w:rFonts w:ascii="Cambria" w:hAnsi="Cambria"/>
        </w:rPr>
        <w:t>carbon pricing</w:t>
      </w:r>
      <w:r w:rsidR="004A3719">
        <w:rPr>
          <w:rFonts w:ascii="Cambria" w:hAnsi="Cambria"/>
        </w:rPr>
        <w:t xml:space="preserve"> proposed by the European Commission</w:t>
      </w:r>
      <w:r w:rsidRPr="00766780">
        <w:rPr>
          <w:rFonts w:ascii="Cambria" w:hAnsi="Cambria"/>
        </w:rPr>
        <w:t xml:space="preserve"> should </w:t>
      </w:r>
      <w:r w:rsidR="00DF425E">
        <w:rPr>
          <w:rFonts w:ascii="Cambria" w:hAnsi="Cambria"/>
        </w:rPr>
        <w:t>soon</w:t>
      </w:r>
      <w:r w:rsidRPr="00766780">
        <w:rPr>
          <w:rFonts w:ascii="Cambria" w:hAnsi="Cambria"/>
        </w:rPr>
        <w:t xml:space="preserve"> complement these policies, as people</w:t>
      </w:r>
      <w:r>
        <w:rPr>
          <w:rFonts w:ascii="Cambria" w:hAnsi="Cambria"/>
        </w:rPr>
        <w:t xml:space="preserve"> </w:t>
      </w:r>
      <w:r w:rsidRPr="00766780">
        <w:rPr>
          <w:rFonts w:ascii="Cambria" w:hAnsi="Cambria"/>
        </w:rPr>
        <w:t xml:space="preserve">get convinced by the </w:t>
      </w:r>
      <w:r>
        <w:rPr>
          <w:rFonts w:ascii="Cambria" w:hAnsi="Cambria"/>
        </w:rPr>
        <w:t xml:space="preserve">progressivity of a carbon </w:t>
      </w:r>
      <w:r w:rsidR="00DF425E">
        <w:rPr>
          <w:rFonts w:ascii="Cambria" w:hAnsi="Cambria"/>
        </w:rPr>
        <w:t>price with</w:t>
      </w:r>
      <w:r>
        <w:rPr>
          <w:rFonts w:ascii="Cambria" w:hAnsi="Cambria"/>
        </w:rPr>
        <w:t xml:space="preserve"> dividend</w:t>
      </w:r>
      <w:r w:rsidRPr="00766780">
        <w:rPr>
          <w:rFonts w:ascii="Cambria" w:hAnsi="Cambria"/>
        </w:rPr>
        <w:t xml:space="preserve"> and by the </w:t>
      </w:r>
      <w:r w:rsidR="004A3719">
        <w:rPr>
          <w:rFonts w:ascii="Cambria" w:hAnsi="Cambria"/>
        </w:rPr>
        <w:t>EU</w:t>
      </w:r>
      <w:r w:rsidR="004A3719" w:rsidRPr="00766780">
        <w:rPr>
          <w:rFonts w:ascii="Cambria" w:hAnsi="Cambria"/>
        </w:rPr>
        <w:t>'s</w:t>
      </w:r>
      <w:r w:rsidR="004A3719">
        <w:rPr>
          <w:rFonts w:ascii="Cambria" w:hAnsi="Cambria"/>
        </w:rPr>
        <w:t xml:space="preserve"> </w:t>
      </w:r>
      <w:r>
        <w:rPr>
          <w:rFonts w:ascii="Cambria" w:hAnsi="Cambria"/>
        </w:rPr>
        <w:t xml:space="preserve">commitment to a </w:t>
      </w:r>
      <w:r w:rsidR="00507307">
        <w:rPr>
          <w:rFonts w:ascii="Cambria" w:hAnsi="Cambria"/>
        </w:rPr>
        <w:t xml:space="preserve">fair </w:t>
      </w:r>
      <w:commentRangeStart w:id="2"/>
      <w:commentRangeEnd w:id="2"/>
      <w:r>
        <w:rPr>
          <w:rFonts w:ascii="Cambria" w:hAnsi="Cambria"/>
        </w:rPr>
        <w:t>decarbonization</w:t>
      </w:r>
      <w:r w:rsidRPr="00766780">
        <w:rPr>
          <w:rFonts w:ascii="Cambria" w:hAnsi="Cambria"/>
        </w:rPr>
        <w:t>.</w:t>
      </w:r>
    </w:p>
    <w:p w14:paraId="1D16FBEC" w14:textId="77777777" w:rsidR="003C2F1A" w:rsidRDefault="00F7462A" w:rsidP="003C2F1A">
      <w:pPr>
        <w:keepNext/>
        <w:spacing w:line="276" w:lineRule="auto"/>
        <w:jc w:val="center"/>
      </w:pPr>
      <w:r>
        <w:rPr>
          <w:rFonts w:ascii="Cambria" w:hAnsi="Cambria"/>
          <w:b/>
          <w:bCs/>
        </w:rPr>
        <w:pict w14:anchorId="12FCA353">
          <v:shape id="_x0000_i1026" type="#_x0000_t75" style="width:346.15pt;height:238.35pt">
            <v:imagedata r:id="rId10" o:title="tax_condition_valc"/>
          </v:shape>
        </w:pict>
      </w:r>
    </w:p>
    <w:p w14:paraId="15CB5724" w14:textId="77777777" w:rsidR="003C2F1A" w:rsidRDefault="003C2F1A" w:rsidP="003C2F1A">
      <w:pPr>
        <w:pStyle w:val="Caption"/>
        <w:jc w:val="center"/>
        <w:rPr>
          <w:rFonts w:ascii="Cambria" w:hAnsi="Cambria"/>
          <w:b/>
          <w:bCs/>
        </w:rPr>
      </w:pPr>
      <w:r>
        <w:t xml:space="preserve">Figure </w:t>
      </w:r>
      <w:r w:rsidR="00992F52">
        <w:fldChar w:fldCharType="begin"/>
      </w:r>
      <w:r w:rsidR="00992F52">
        <w:instrText xml:space="preserve"> SEQ Figure \* ARABIC </w:instrText>
      </w:r>
      <w:r w:rsidR="00992F52">
        <w:fldChar w:fldCharType="separate"/>
      </w:r>
      <w:r>
        <w:rPr>
          <w:noProof/>
        </w:rPr>
        <w:t>3</w:t>
      </w:r>
      <w:r w:rsidR="00992F52">
        <w:rPr>
          <w:noProof/>
        </w:rPr>
        <w:fldChar w:fldCharType="end"/>
      </w:r>
      <w:r>
        <w:t xml:space="preserve"> “Would you approve of an increase of the carbon tax if the revenues were used to...?”</w:t>
      </w:r>
    </w:p>
    <w:p w14:paraId="34DAC1B7" w14:textId="77777777" w:rsidR="00A811F0" w:rsidRPr="000C1828" w:rsidRDefault="00A811F0" w:rsidP="00A811F0">
      <w:pPr>
        <w:spacing w:line="276" w:lineRule="auto"/>
        <w:jc w:val="both"/>
        <w:rPr>
          <w:rFonts w:ascii="Cambria" w:hAnsi="Cambria"/>
          <w:b/>
          <w:bCs/>
        </w:rPr>
      </w:pPr>
      <w:r w:rsidRPr="000C1828">
        <w:rPr>
          <w:rFonts w:ascii="Cambria" w:hAnsi="Cambria"/>
          <w:b/>
          <w:bCs/>
        </w:rPr>
        <w:t>References</w:t>
      </w:r>
    </w:p>
    <w:p w14:paraId="474667D1" w14:textId="77777777" w:rsidR="00DD2F10" w:rsidRPr="00DD2F10" w:rsidRDefault="00DD2F10" w:rsidP="00DD2F10">
      <w:pPr>
        <w:pStyle w:val="ListParagraph"/>
        <w:numPr>
          <w:ilvl w:val="0"/>
          <w:numId w:val="1"/>
        </w:numPr>
        <w:spacing w:line="276" w:lineRule="auto"/>
        <w:jc w:val="both"/>
        <w:rPr>
          <w:rFonts w:ascii="Cambria" w:hAnsi="Cambria"/>
          <w:lang w:val="fr-CH"/>
        </w:rPr>
      </w:pPr>
      <w:r w:rsidRPr="00DD2F10">
        <w:rPr>
          <w:rFonts w:ascii="Cambria" w:hAnsi="Cambria"/>
          <w:lang w:val="fr-CH"/>
        </w:rPr>
        <w:t>ADEME (2020), “Représentations sociales du changement climatique : 21</w:t>
      </w:r>
      <w:r w:rsidRPr="00DD2F10">
        <w:rPr>
          <w:rFonts w:ascii="Cambria" w:hAnsi="Cambria"/>
          <w:vertAlign w:val="superscript"/>
          <w:lang w:val="fr-CH"/>
        </w:rPr>
        <w:t>ème</w:t>
      </w:r>
      <w:r w:rsidRPr="00DD2F10">
        <w:rPr>
          <w:rFonts w:ascii="Cambria" w:hAnsi="Cambria"/>
          <w:lang w:val="fr-CH"/>
        </w:rPr>
        <w:t xml:space="preserve"> vague”</w:t>
      </w:r>
      <w:r>
        <w:rPr>
          <w:rFonts w:ascii="Cambria" w:hAnsi="Cambria"/>
          <w:lang w:val="fr-CH"/>
        </w:rPr>
        <w:t>.</w:t>
      </w:r>
    </w:p>
    <w:p w14:paraId="73098AB3" w14:textId="77777777" w:rsidR="00C438DB" w:rsidRPr="00C438DB" w:rsidRDefault="00C438DB" w:rsidP="00C438DB">
      <w:pPr>
        <w:pStyle w:val="ListParagraph"/>
        <w:numPr>
          <w:ilvl w:val="0"/>
          <w:numId w:val="1"/>
        </w:numPr>
        <w:spacing w:line="276" w:lineRule="auto"/>
        <w:jc w:val="both"/>
        <w:rPr>
          <w:rFonts w:ascii="Cambria" w:hAnsi="Cambria"/>
          <w:lang w:val="en-US"/>
        </w:rPr>
      </w:pPr>
      <w:r w:rsidRPr="00C438DB">
        <w:rPr>
          <w:rFonts w:ascii="Cambria" w:hAnsi="Cambria"/>
          <w:lang w:val="en-US"/>
        </w:rPr>
        <w:t xml:space="preserve">Bergquist P, M Mildenberg, and L C Stokes (2020), </w:t>
      </w:r>
      <w:r>
        <w:rPr>
          <w:rFonts w:ascii="Cambria" w:hAnsi="Cambria"/>
          <w:lang w:val="en-US"/>
        </w:rPr>
        <w:t>“</w:t>
      </w:r>
      <w:r w:rsidRPr="00C438DB">
        <w:rPr>
          <w:rFonts w:ascii="Cambria" w:hAnsi="Cambria"/>
          <w:lang w:val="en-US"/>
        </w:rPr>
        <w:t>Combining climate, economic, and social policy builds public support for climate action in the US</w:t>
      </w:r>
      <w:r>
        <w:rPr>
          <w:rFonts w:ascii="Cambria" w:hAnsi="Cambria"/>
          <w:lang w:val="en-US"/>
        </w:rPr>
        <w:t xml:space="preserve">”, </w:t>
      </w:r>
      <w:r w:rsidRPr="00C438DB">
        <w:rPr>
          <w:rFonts w:ascii="Cambria" w:hAnsi="Cambria"/>
          <w:i/>
          <w:lang w:val="en-US"/>
        </w:rPr>
        <w:t>Environmental Research Letters</w:t>
      </w:r>
      <w:r w:rsidR="00783853">
        <w:rPr>
          <w:rFonts w:ascii="Cambria" w:hAnsi="Cambria"/>
          <w:lang w:val="en-US"/>
        </w:rPr>
        <w:t>, 15(5)</w:t>
      </w:r>
    </w:p>
    <w:p w14:paraId="501AE3B2" w14:textId="77777777" w:rsidR="00A811F0" w:rsidRPr="000C1828" w:rsidRDefault="00A811F0" w:rsidP="00A811F0">
      <w:pPr>
        <w:pStyle w:val="ListParagraph"/>
        <w:numPr>
          <w:ilvl w:val="0"/>
          <w:numId w:val="1"/>
        </w:numPr>
        <w:spacing w:line="276" w:lineRule="auto"/>
        <w:jc w:val="both"/>
        <w:rPr>
          <w:rFonts w:ascii="Cambria" w:hAnsi="Cambria"/>
          <w:lang w:val="en-US"/>
        </w:rPr>
      </w:pPr>
      <w:r w:rsidRPr="000C1828">
        <w:rPr>
          <w:rFonts w:ascii="Cambria" w:hAnsi="Cambria"/>
          <w:lang w:val="en-US"/>
        </w:rPr>
        <w:t>Carattini</w:t>
      </w:r>
      <w:r>
        <w:rPr>
          <w:rFonts w:ascii="Cambria" w:hAnsi="Cambria"/>
          <w:lang w:val="en-US"/>
        </w:rPr>
        <w:t xml:space="preserve"> S</w:t>
      </w:r>
      <w:r w:rsidRPr="000C1828">
        <w:rPr>
          <w:rFonts w:ascii="Cambria" w:hAnsi="Cambria"/>
          <w:lang w:val="en-US"/>
        </w:rPr>
        <w:t xml:space="preserve">, M Carvalho, </w:t>
      </w:r>
      <w:r>
        <w:rPr>
          <w:rFonts w:ascii="Cambria" w:hAnsi="Cambria"/>
          <w:lang w:val="en-US"/>
        </w:rPr>
        <w:t>and S Fankhauser (</w:t>
      </w:r>
      <w:r w:rsidRPr="000C1828">
        <w:rPr>
          <w:rFonts w:ascii="Cambria" w:hAnsi="Cambria"/>
          <w:lang w:val="en-US"/>
        </w:rPr>
        <w:t>2018</w:t>
      </w:r>
      <w:r>
        <w:rPr>
          <w:rFonts w:ascii="Cambria" w:hAnsi="Cambria"/>
          <w:lang w:val="en-US"/>
        </w:rPr>
        <w:t>)</w:t>
      </w:r>
      <w:r w:rsidRPr="000C1828">
        <w:rPr>
          <w:rFonts w:ascii="Cambria" w:hAnsi="Cambria"/>
          <w:lang w:val="en-US"/>
        </w:rPr>
        <w:t xml:space="preserve"> </w:t>
      </w:r>
      <w:r>
        <w:rPr>
          <w:rFonts w:ascii="Cambria" w:hAnsi="Cambria"/>
          <w:lang w:val="en-US"/>
        </w:rPr>
        <w:t>“</w:t>
      </w:r>
      <w:r w:rsidRPr="000C1828">
        <w:rPr>
          <w:rFonts w:ascii="Cambria" w:hAnsi="Cambria"/>
          <w:lang w:val="en-US"/>
        </w:rPr>
        <w:t>Overcoming public resistance to carbon taxes</w:t>
      </w:r>
      <w:r>
        <w:rPr>
          <w:rFonts w:ascii="Cambria" w:hAnsi="Cambria"/>
          <w:lang w:val="en-US"/>
        </w:rPr>
        <w:t>”,</w:t>
      </w:r>
      <w:r w:rsidRPr="000C1828">
        <w:rPr>
          <w:rFonts w:ascii="Cambria" w:hAnsi="Cambria"/>
          <w:lang w:val="en-US"/>
        </w:rPr>
        <w:t xml:space="preserve"> </w:t>
      </w:r>
      <w:r w:rsidRPr="000C1828">
        <w:rPr>
          <w:rFonts w:ascii="Cambria" w:hAnsi="Cambria"/>
          <w:i/>
          <w:iCs/>
          <w:lang w:val="en-US"/>
        </w:rPr>
        <w:t>Wiley Interdisciplinary Reviews : Climate Change</w:t>
      </w:r>
      <w:r w:rsidRPr="000C1828">
        <w:rPr>
          <w:rFonts w:ascii="Cambria" w:hAnsi="Cambria"/>
          <w:lang w:val="en-US"/>
        </w:rPr>
        <w:t>, 9(5).</w:t>
      </w:r>
    </w:p>
    <w:p w14:paraId="329E0872" w14:textId="77777777" w:rsidR="00A811F0" w:rsidRPr="000C1828" w:rsidRDefault="00A811F0" w:rsidP="00A811F0">
      <w:pPr>
        <w:pStyle w:val="ListParagraph"/>
        <w:numPr>
          <w:ilvl w:val="0"/>
          <w:numId w:val="1"/>
        </w:numPr>
        <w:spacing w:line="276" w:lineRule="auto"/>
        <w:jc w:val="both"/>
        <w:rPr>
          <w:rFonts w:ascii="Cambria" w:hAnsi="Cambria"/>
          <w:lang w:val="en-US"/>
        </w:rPr>
      </w:pPr>
      <w:r w:rsidRPr="000C1828">
        <w:rPr>
          <w:rFonts w:ascii="Cambria" w:hAnsi="Cambria"/>
          <w:lang w:val="en-US"/>
        </w:rPr>
        <w:t>Douenne</w:t>
      </w:r>
      <w:r>
        <w:rPr>
          <w:rFonts w:ascii="Cambria" w:hAnsi="Cambria"/>
          <w:lang w:val="en-US"/>
        </w:rPr>
        <w:t xml:space="preserve"> T (2020),</w:t>
      </w:r>
      <w:r w:rsidRPr="000C1828">
        <w:rPr>
          <w:rFonts w:ascii="Cambria" w:hAnsi="Cambria"/>
          <w:lang w:val="en-US"/>
        </w:rPr>
        <w:t xml:space="preserve"> </w:t>
      </w:r>
      <w:r>
        <w:rPr>
          <w:rFonts w:ascii="Cambria" w:hAnsi="Cambria"/>
          <w:lang w:val="en-US"/>
        </w:rPr>
        <w:t>“</w:t>
      </w:r>
      <w:r w:rsidRPr="000C1828">
        <w:rPr>
          <w:rFonts w:ascii="Cambria" w:hAnsi="Cambria"/>
          <w:lang w:val="en-US"/>
        </w:rPr>
        <w:t xml:space="preserve">The vertical and horizontal </w:t>
      </w:r>
      <w:r>
        <w:rPr>
          <w:rFonts w:ascii="Cambria" w:hAnsi="Cambria"/>
          <w:lang w:val="en-US"/>
        </w:rPr>
        <w:t>distributional</w:t>
      </w:r>
      <w:r w:rsidRPr="000C1828">
        <w:rPr>
          <w:rFonts w:ascii="Cambria" w:hAnsi="Cambria"/>
          <w:lang w:val="en-US"/>
        </w:rPr>
        <w:t xml:space="preserve"> effects of energy taxes : A case study of a French policy</w:t>
      </w:r>
      <w:r>
        <w:rPr>
          <w:rFonts w:ascii="Cambria" w:hAnsi="Cambria"/>
          <w:lang w:val="en-US"/>
        </w:rPr>
        <w:t>”</w:t>
      </w:r>
      <w:r w:rsidRPr="000C1828">
        <w:rPr>
          <w:rFonts w:ascii="Cambria" w:hAnsi="Cambria"/>
          <w:lang w:val="en-US"/>
        </w:rPr>
        <w:t xml:space="preserve">. </w:t>
      </w:r>
      <w:r w:rsidRPr="000C1828">
        <w:rPr>
          <w:rFonts w:ascii="Cambria" w:hAnsi="Cambria"/>
          <w:i/>
          <w:iCs/>
          <w:lang w:val="en-US"/>
        </w:rPr>
        <w:t>The Energy Journal</w:t>
      </w:r>
      <w:r w:rsidRPr="000C1828">
        <w:rPr>
          <w:rFonts w:ascii="Cambria" w:hAnsi="Cambria"/>
          <w:lang w:val="en-US"/>
        </w:rPr>
        <w:t>, 41(3).</w:t>
      </w:r>
    </w:p>
    <w:p w14:paraId="73B6BCA7" w14:textId="77777777" w:rsidR="00A811F0" w:rsidRPr="000C1828" w:rsidRDefault="00A811F0" w:rsidP="00A811F0">
      <w:pPr>
        <w:pStyle w:val="ListParagraph"/>
        <w:numPr>
          <w:ilvl w:val="0"/>
          <w:numId w:val="1"/>
        </w:numPr>
        <w:spacing w:line="276" w:lineRule="auto"/>
        <w:jc w:val="both"/>
        <w:rPr>
          <w:rFonts w:ascii="Cambria" w:hAnsi="Cambria"/>
          <w:lang w:val="en-US"/>
        </w:rPr>
      </w:pPr>
      <w:r w:rsidRPr="00A811F0">
        <w:rPr>
          <w:rFonts w:ascii="Cambria" w:hAnsi="Cambria"/>
          <w:lang w:val="en-US"/>
        </w:rPr>
        <w:t>Douenne T and A Fabre</w:t>
      </w:r>
      <w:r>
        <w:rPr>
          <w:rFonts w:ascii="Cambria" w:hAnsi="Cambria"/>
          <w:lang w:val="en-US"/>
        </w:rPr>
        <w:t xml:space="preserve"> (2020),</w:t>
      </w:r>
      <w:r w:rsidRPr="000C1828">
        <w:rPr>
          <w:rFonts w:ascii="Cambria" w:hAnsi="Cambria"/>
          <w:lang w:val="en-US"/>
        </w:rPr>
        <w:t xml:space="preserve"> </w:t>
      </w:r>
      <w:r>
        <w:rPr>
          <w:rFonts w:ascii="Cambria" w:hAnsi="Cambria"/>
          <w:lang w:val="en-US"/>
        </w:rPr>
        <w:t>“</w:t>
      </w:r>
      <w:r w:rsidRPr="000C1828">
        <w:rPr>
          <w:rFonts w:ascii="Cambria" w:hAnsi="Cambria"/>
          <w:lang w:val="en-US"/>
        </w:rPr>
        <w:t>French attitudes on climate change, carbon taxation and other climate policies</w:t>
      </w:r>
      <w:r>
        <w:rPr>
          <w:rFonts w:ascii="Cambria" w:hAnsi="Cambria"/>
          <w:lang w:val="en-US"/>
        </w:rPr>
        <w:t>”,</w:t>
      </w:r>
      <w:r w:rsidRPr="000C1828">
        <w:rPr>
          <w:rFonts w:ascii="Cambria" w:hAnsi="Cambria"/>
          <w:i/>
          <w:iCs/>
          <w:lang w:val="en-US"/>
        </w:rPr>
        <w:t xml:space="preserve"> Ecological Economics</w:t>
      </w:r>
      <w:r>
        <w:rPr>
          <w:rFonts w:ascii="Cambria" w:hAnsi="Cambria"/>
          <w:lang w:val="en-US"/>
        </w:rPr>
        <w:t>, 169(C)</w:t>
      </w:r>
      <w:r w:rsidRPr="000C1828">
        <w:rPr>
          <w:rFonts w:ascii="Cambria" w:hAnsi="Cambria"/>
          <w:lang w:val="en-US"/>
        </w:rPr>
        <w:t>.</w:t>
      </w:r>
    </w:p>
    <w:p w14:paraId="44703832" w14:textId="77777777" w:rsidR="00A811F0" w:rsidRDefault="00A811F0" w:rsidP="00A811F0">
      <w:pPr>
        <w:pStyle w:val="ListParagraph"/>
        <w:numPr>
          <w:ilvl w:val="0"/>
          <w:numId w:val="1"/>
        </w:numPr>
        <w:spacing w:line="276" w:lineRule="auto"/>
        <w:jc w:val="both"/>
        <w:rPr>
          <w:rFonts w:ascii="Cambria" w:hAnsi="Cambria"/>
          <w:lang w:val="en-US"/>
        </w:rPr>
      </w:pPr>
      <w:r w:rsidRPr="00A811F0">
        <w:rPr>
          <w:rFonts w:ascii="Cambria" w:hAnsi="Cambria"/>
          <w:lang w:val="en-US"/>
        </w:rPr>
        <w:lastRenderedPageBreak/>
        <w:t>Douenne T and A Fabre (</w:t>
      </w:r>
      <w:r w:rsidRPr="000C1828">
        <w:rPr>
          <w:rFonts w:ascii="Cambria" w:hAnsi="Cambria"/>
          <w:lang w:val="en-US"/>
        </w:rPr>
        <w:t>2022</w:t>
      </w:r>
      <w:r>
        <w:rPr>
          <w:rFonts w:ascii="Cambria" w:hAnsi="Cambria"/>
          <w:lang w:val="en-US"/>
        </w:rPr>
        <w:t>),</w:t>
      </w:r>
      <w:r w:rsidRPr="00A811F0">
        <w:rPr>
          <w:rFonts w:ascii="Cambria" w:hAnsi="Cambria"/>
          <w:lang w:val="en-US"/>
        </w:rPr>
        <w:t xml:space="preserve"> </w:t>
      </w:r>
      <w:r>
        <w:rPr>
          <w:rFonts w:ascii="Cambria" w:hAnsi="Cambria"/>
          <w:lang w:val="en-US"/>
        </w:rPr>
        <w:t>“</w:t>
      </w:r>
      <w:r w:rsidRPr="000C1828">
        <w:rPr>
          <w:rFonts w:ascii="Cambria" w:hAnsi="Cambria"/>
          <w:lang w:val="en-US"/>
        </w:rPr>
        <w:t>Yellow Vests, Pessimistic Beliefs, and Carbon Tax Aversion</w:t>
      </w:r>
      <w:r>
        <w:rPr>
          <w:rFonts w:ascii="Cambria" w:hAnsi="Cambria"/>
          <w:lang w:val="en-US"/>
        </w:rPr>
        <w:t>”</w:t>
      </w:r>
      <w:r w:rsidRPr="000C1828">
        <w:rPr>
          <w:rFonts w:ascii="Cambria" w:hAnsi="Cambria"/>
          <w:lang w:val="en-US"/>
        </w:rPr>
        <w:t xml:space="preserve">, </w:t>
      </w:r>
      <w:r w:rsidRPr="000C1828">
        <w:rPr>
          <w:rFonts w:ascii="Cambria" w:hAnsi="Cambria"/>
          <w:i/>
          <w:iCs/>
          <w:lang w:val="en-US"/>
        </w:rPr>
        <w:t>American Economic Journal: Economic Policy</w:t>
      </w:r>
      <w:r>
        <w:rPr>
          <w:rFonts w:ascii="Cambria" w:hAnsi="Cambria"/>
          <w:lang w:val="en-US"/>
        </w:rPr>
        <w:t>, 14(1)</w:t>
      </w:r>
      <w:r w:rsidRPr="000C1828">
        <w:rPr>
          <w:rFonts w:ascii="Cambria" w:hAnsi="Cambria"/>
          <w:lang w:val="en-US"/>
        </w:rPr>
        <w:t>.</w:t>
      </w:r>
    </w:p>
    <w:p w14:paraId="2028B4CD" w14:textId="77777777" w:rsidR="00A811F0" w:rsidRDefault="00C31451" w:rsidP="00C31451">
      <w:pPr>
        <w:pStyle w:val="ListParagraph"/>
        <w:numPr>
          <w:ilvl w:val="0"/>
          <w:numId w:val="1"/>
        </w:numPr>
        <w:spacing w:line="276" w:lineRule="auto"/>
        <w:jc w:val="both"/>
        <w:rPr>
          <w:rFonts w:ascii="Cambria" w:hAnsi="Cambria"/>
          <w:lang w:val="en-US"/>
        </w:rPr>
      </w:pPr>
      <w:r>
        <w:rPr>
          <w:rFonts w:ascii="Cambria" w:hAnsi="Cambria"/>
          <w:lang w:val="en-US"/>
        </w:rPr>
        <w:t>Klenert D and C Hepburn (2018), “</w:t>
      </w:r>
      <w:hyperlink r:id="rId11" w:history="1">
        <w:r w:rsidRPr="00C31451">
          <w:rPr>
            <w:rStyle w:val="Hyperlink"/>
            <w:rFonts w:ascii="Cambria" w:hAnsi="Cambria"/>
            <w:lang w:val="en-US"/>
          </w:rPr>
          <w:t>Making carbon pricing work for citizens</w:t>
        </w:r>
      </w:hyperlink>
      <w:r>
        <w:rPr>
          <w:rFonts w:ascii="Cambria" w:hAnsi="Cambria"/>
          <w:lang w:val="en-US"/>
        </w:rPr>
        <w:t xml:space="preserve">”, </w:t>
      </w:r>
      <w:r w:rsidRPr="00C31451">
        <w:rPr>
          <w:rFonts w:ascii="Cambria" w:hAnsi="Cambria"/>
          <w:lang w:val="en-US"/>
        </w:rPr>
        <w:t>VoxEU.org,</w:t>
      </w:r>
      <w:r>
        <w:rPr>
          <w:rFonts w:ascii="Cambria" w:hAnsi="Cambria"/>
          <w:lang w:val="en-US"/>
        </w:rPr>
        <w:t xml:space="preserve"> 31 July.</w:t>
      </w:r>
    </w:p>
    <w:p w14:paraId="54ACDFC2" w14:textId="77777777" w:rsidR="00C31451" w:rsidRDefault="00C31451" w:rsidP="00C31451">
      <w:pPr>
        <w:pStyle w:val="ListParagraph"/>
        <w:numPr>
          <w:ilvl w:val="0"/>
          <w:numId w:val="1"/>
        </w:numPr>
        <w:spacing w:line="276" w:lineRule="auto"/>
        <w:jc w:val="both"/>
        <w:rPr>
          <w:rFonts w:ascii="Cambria" w:hAnsi="Cambria"/>
          <w:lang w:val="en-US"/>
        </w:rPr>
      </w:pPr>
      <w:r>
        <w:rPr>
          <w:rFonts w:ascii="Cambria" w:hAnsi="Cambria"/>
          <w:lang w:val="en-US"/>
        </w:rPr>
        <w:t>Levinson A (2018), “</w:t>
      </w:r>
      <w:hyperlink r:id="rId12" w:history="1">
        <w:r w:rsidRPr="00C31451">
          <w:rPr>
            <w:rStyle w:val="Hyperlink"/>
            <w:rFonts w:ascii="Cambria" w:hAnsi="Cambria"/>
            <w:lang w:val="en-US"/>
          </w:rPr>
          <w:t>A carbon tax would be less regressive than energy efficiency standards</w:t>
        </w:r>
      </w:hyperlink>
      <w:r>
        <w:rPr>
          <w:rFonts w:ascii="Cambria" w:hAnsi="Cambria"/>
          <w:lang w:val="en-US"/>
        </w:rPr>
        <w:t xml:space="preserve">”, </w:t>
      </w:r>
      <w:r w:rsidRPr="00C31451">
        <w:rPr>
          <w:rFonts w:ascii="Cambria" w:hAnsi="Cambria"/>
          <w:lang w:val="en-US"/>
        </w:rPr>
        <w:t>VoxEU.org</w:t>
      </w:r>
      <w:r>
        <w:rPr>
          <w:rFonts w:ascii="Cambria" w:hAnsi="Cambria"/>
          <w:lang w:val="en-US"/>
        </w:rPr>
        <w:t>, 5 July.</w:t>
      </w:r>
    </w:p>
    <w:p w14:paraId="0710F3AA" w14:textId="77777777" w:rsidR="00C31451" w:rsidRDefault="00C31451" w:rsidP="00C31451">
      <w:pPr>
        <w:pStyle w:val="ListParagraph"/>
        <w:numPr>
          <w:ilvl w:val="0"/>
          <w:numId w:val="1"/>
        </w:numPr>
        <w:spacing w:line="276" w:lineRule="auto"/>
        <w:jc w:val="both"/>
        <w:rPr>
          <w:rFonts w:ascii="Cambria" w:hAnsi="Cambria"/>
          <w:lang w:val="en-US"/>
        </w:rPr>
      </w:pPr>
      <w:r w:rsidRPr="00C31451">
        <w:rPr>
          <w:rFonts w:ascii="Cambria" w:hAnsi="Cambria"/>
          <w:lang w:val="en-US"/>
        </w:rPr>
        <w:t xml:space="preserve">Paoli, M C and R van der Ploeg (2021), </w:t>
      </w:r>
      <w:r>
        <w:rPr>
          <w:rFonts w:ascii="Cambria" w:hAnsi="Cambria"/>
          <w:lang w:val="en-US"/>
        </w:rPr>
        <w:t>“</w:t>
      </w:r>
      <w:hyperlink r:id="rId13" w:history="1">
        <w:r w:rsidRPr="00C31451">
          <w:rPr>
            <w:rStyle w:val="Hyperlink"/>
            <w:rFonts w:ascii="Cambria" w:hAnsi="Cambria"/>
            <w:lang w:val="en-US"/>
          </w:rPr>
          <w:t>Recycling revenue to improve political feasibility of carbon pricing in the UK</w:t>
        </w:r>
      </w:hyperlink>
      <w:r>
        <w:rPr>
          <w:rFonts w:ascii="Cambria" w:hAnsi="Cambria"/>
          <w:lang w:val="en-US"/>
        </w:rPr>
        <w:t xml:space="preserve">”, </w:t>
      </w:r>
      <w:r w:rsidRPr="00C31451">
        <w:rPr>
          <w:rFonts w:ascii="Cambria" w:hAnsi="Cambria"/>
          <w:lang w:val="en-US"/>
        </w:rPr>
        <w:t>VoxEU.org,</w:t>
      </w:r>
      <w:r>
        <w:rPr>
          <w:rFonts w:ascii="Cambria" w:hAnsi="Cambria"/>
          <w:lang w:val="en-US"/>
        </w:rPr>
        <w:t xml:space="preserve"> 4 October.</w:t>
      </w:r>
    </w:p>
    <w:p w14:paraId="30608099" w14:textId="77777777" w:rsidR="00C31451" w:rsidRPr="00C31451" w:rsidRDefault="00C31451" w:rsidP="00C31451">
      <w:pPr>
        <w:pStyle w:val="ListParagraph"/>
        <w:numPr>
          <w:ilvl w:val="0"/>
          <w:numId w:val="1"/>
        </w:numPr>
        <w:spacing w:line="276" w:lineRule="auto"/>
        <w:jc w:val="both"/>
        <w:rPr>
          <w:rFonts w:ascii="Cambria" w:hAnsi="Cambria"/>
          <w:lang w:val="en-US"/>
        </w:rPr>
      </w:pPr>
      <w:r w:rsidRPr="00C31451">
        <w:rPr>
          <w:rFonts w:ascii="Cambria" w:hAnsi="Cambria"/>
          <w:lang w:val="en-US"/>
        </w:rPr>
        <w:t>Pisu M, D’Arcangelo F M, Levin I, and Johansson A (2022), “</w:t>
      </w:r>
      <w:hyperlink r:id="rId14" w:history="1">
        <w:r w:rsidRPr="00C31451">
          <w:rPr>
            <w:rStyle w:val="Hyperlink"/>
            <w:rFonts w:ascii="Cambria" w:hAnsi="Cambria"/>
            <w:lang w:val="en-US"/>
          </w:rPr>
          <w:t>A framework to decarbonise the economy</w:t>
        </w:r>
      </w:hyperlink>
      <w:r>
        <w:rPr>
          <w:rFonts w:ascii="Cambria" w:hAnsi="Cambria"/>
          <w:lang w:val="en-US"/>
        </w:rPr>
        <w:t xml:space="preserve">”, </w:t>
      </w:r>
      <w:r w:rsidRPr="00C31451">
        <w:rPr>
          <w:rFonts w:ascii="Cambria" w:hAnsi="Cambria"/>
          <w:lang w:val="en-US"/>
        </w:rPr>
        <w:t>VoxEU.org,</w:t>
      </w:r>
      <w:r>
        <w:rPr>
          <w:rFonts w:ascii="Cambria" w:hAnsi="Cambria"/>
          <w:lang w:val="en-US"/>
        </w:rPr>
        <w:t xml:space="preserve"> 14 February.</w:t>
      </w:r>
    </w:p>
    <w:p w14:paraId="7902332D" w14:textId="79EB0862" w:rsidR="006C4D43" w:rsidRPr="00630CC9" w:rsidRDefault="00A811F0" w:rsidP="001F440D">
      <w:pPr>
        <w:pStyle w:val="ListParagraph"/>
        <w:numPr>
          <w:ilvl w:val="0"/>
          <w:numId w:val="1"/>
        </w:numPr>
        <w:spacing w:line="276" w:lineRule="auto"/>
        <w:jc w:val="both"/>
        <w:rPr>
          <w:rFonts w:ascii="Cambria" w:hAnsi="Cambria"/>
          <w:lang w:val="en-US"/>
        </w:rPr>
      </w:pPr>
      <w:r w:rsidRPr="000C1828">
        <w:rPr>
          <w:rFonts w:ascii="Cambria" w:hAnsi="Cambria"/>
          <w:lang w:val="en-US"/>
        </w:rPr>
        <w:t>Pizer</w:t>
      </w:r>
      <w:r>
        <w:rPr>
          <w:rFonts w:ascii="Cambria" w:hAnsi="Cambria"/>
          <w:lang w:val="en-US"/>
        </w:rPr>
        <w:t>,</w:t>
      </w:r>
      <w:r w:rsidRPr="000C1828">
        <w:rPr>
          <w:rFonts w:ascii="Cambria" w:hAnsi="Cambria"/>
          <w:lang w:val="en-US"/>
        </w:rPr>
        <w:t xml:space="preserve"> W and S Sexton</w:t>
      </w:r>
      <w:r>
        <w:rPr>
          <w:rFonts w:ascii="Cambria" w:hAnsi="Cambria"/>
          <w:lang w:val="en-US"/>
        </w:rPr>
        <w:t xml:space="preserve"> (2019),</w:t>
      </w:r>
      <w:r w:rsidRPr="000C1828">
        <w:rPr>
          <w:rFonts w:ascii="Cambria" w:hAnsi="Cambria"/>
          <w:lang w:val="en-US"/>
        </w:rPr>
        <w:t xml:space="preserve"> </w:t>
      </w:r>
      <w:r>
        <w:rPr>
          <w:rFonts w:ascii="Cambria" w:hAnsi="Cambria"/>
          <w:lang w:val="en-US"/>
        </w:rPr>
        <w:t>“</w:t>
      </w:r>
      <w:r w:rsidRPr="000C1828">
        <w:rPr>
          <w:rFonts w:ascii="Cambria" w:hAnsi="Cambria"/>
          <w:lang w:val="en-US"/>
        </w:rPr>
        <w:t>The Distrib</w:t>
      </w:r>
      <w:r>
        <w:rPr>
          <w:rFonts w:ascii="Cambria" w:hAnsi="Cambria"/>
          <w:lang w:val="en-US"/>
        </w:rPr>
        <w:t>utional Impacts of Energy Taxes”,</w:t>
      </w:r>
      <w:r w:rsidRPr="000C1828">
        <w:rPr>
          <w:rFonts w:ascii="Cambria" w:hAnsi="Cambria"/>
          <w:lang w:val="en-US"/>
        </w:rPr>
        <w:t xml:space="preserve"> </w:t>
      </w:r>
      <w:r w:rsidRPr="000C1828">
        <w:rPr>
          <w:rFonts w:ascii="Cambria" w:hAnsi="Cambria"/>
          <w:i/>
          <w:iCs/>
          <w:lang w:val="en-US"/>
        </w:rPr>
        <w:t>Review of Environmental Economics and Policy</w:t>
      </w:r>
      <w:r>
        <w:rPr>
          <w:rFonts w:ascii="Cambria" w:hAnsi="Cambria"/>
          <w:lang w:val="en-US"/>
        </w:rPr>
        <w:t>, 13(1)</w:t>
      </w:r>
      <w:r w:rsidRPr="000C1828">
        <w:rPr>
          <w:rFonts w:ascii="Cambria" w:hAnsi="Cambria"/>
          <w:lang w:val="en-US"/>
        </w:rPr>
        <w:t>.</w:t>
      </w:r>
      <w:r w:rsidRPr="00630CC9">
        <w:rPr>
          <w:rFonts w:ascii="Cambria" w:hAnsi="Cambria"/>
          <w:lang w:val="en-US"/>
        </w:rPr>
        <w:t xml:space="preserve"> </w:t>
      </w:r>
    </w:p>
    <w:p w14:paraId="64724C11" w14:textId="77777777" w:rsidR="006C4D43" w:rsidRPr="00B61FA3" w:rsidRDefault="006C4D43">
      <w:pPr>
        <w:rPr>
          <w:rFonts w:ascii="Cambria" w:hAnsi="Cambria"/>
        </w:rPr>
      </w:pPr>
    </w:p>
    <w:sectPr w:rsidR="006C4D43" w:rsidRPr="00B61FA3">
      <w:pgSz w:w="12240" w:h="15840"/>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A9129" w16cex:dateUtc="2022-04-20T12:03:00Z"/>
  <w16cex:commentExtensible w16cex:durableId="260A5CA8" w16cex:dateUtc="2022-04-20T08:19:00Z"/>
  <w16cex:commentExtensible w16cex:durableId="260A5C96" w16cex:dateUtc="2022-04-20T08:19:00Z"/>
  <w16cex:commentExtensible w16cex:durableId="260A4C53" w16cex:dateUtc="2022-04-20T07:09:00Z"/>
  <w16cex:commentExtensible w16cex:durableId="260A5257" w16cex:dateUtc="2022-04-20T07:35:00Z"/>
  <w16cex:commentExtensible w16cex:durableId="260A91CC" w16cex:dateUtc="2022-04-20T12:06:00Z"/>
  <w16cex:commentExtensible w16cex:durableId="260A4CF7" w16cex:dateUtc="2022-04-20T07:12:00Z"/>
  <w16cex:commentExtensible w16cex:durableId="260A52B1" w16cex:dateUtc="2022-04-20T07:36:00Z"/>
  <w16cex:commentExtensible w16cex:durableId="260A4D4F" w16cex:dateUtc="2022-04-20T07:13:00Z"/>
  <w16cex:commentExtensible w16cex:durableId="260A4DCF" w16cex:dateUtc="2022-04-20T07:15:00Z"/>
  <w16cex:commentExtensible w16cex:durableId="260A5D91" w16cex:dateUtc="2022-04-20T08:23:00Z"/>
  <w16cex:commentExtensible w16cex:durableId="260A8E72" w16cex:dateUtc="2022-04-20T11:51:00Z"/>
  <w16cex:commentExtensible w16cex:durableId="260A4F11" w16cex:dateUtc="2022-04-20T07:21:00Z"/>
  <w16cex:commentExtensible w16cex:durableId="260A5DD2" w16cex:dateUtc="2022-04-20T08:24:00Z"/>
  <w16cex:commentExtensible w16cex:durableId="260A8EED" w16cex:dateUtc="2022-04-20T11:53:00Z"/>
  <w16cex:commentExtensible w16cex:durableId="260A8FB6" w16cex:dateUtc="2022-04-20T11:57:00Z"/>
  <w16cex:commentExtensible w16cex:durableId="260A4FF5" w16cex:dateUtc="2022-04-20T07:25:00Z"/>
  <w16cex:commentExtensible w16cex:durableId="260A901D" w16cex:dateUtc="2022-04-20T11:58:00Z"/>
  <w16cex:commentExtensible w16cex:durableId="260A5017" w16cex:dateUtc="2022-04-20T07:25:00Z"/>
  <w16cex:commentExtensible w16cex:durableId="260A50A2" w16cex:dateUtc="2022-04-20T07:28:00Z"/>
  <w16cex:commentExtensible w16cex:durableId="260A5045" w16cex:dateUtc="2022-04-20T07:26:00Z"/>
  <w16cex:commentExtensible w16cex:durableId="260A5074" w16cex:dateUtc="2022-04-20T07: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6B6B5F" w16cid:durableId="260A9129"/>
  <w16cid:commentId w16cid:paraId="3392D15E" w16cid:durableId="260A5CA8"/>
  <w16cid:commentId w16cid:paraId="136BABBC" w16cid:durableId="260A5C96"/>
  <w16cid:commentId w16cid:paraId="58852A42" w16cid:durableId="260A4C53"/>
  <w16cid:commentId w16cid:paraId="1219B51D" w16cid:durableId="260A5257"/>
  <w16cid:commentId w16cid:paraId="3783135B" w16cid:durableId="260A8D90"/>
  <w16cid:commentId w16cid:paraId="14E87EC3" w16cid:durableId="260A91CC"/>
  <w16cid:commentId w16cid:paraId="547DAE4E" w16cid:durableId="260A4CF7"/>
  <w16cid:commentId w16cid:paraId="69F793A3" w16cid:durableId="260A52B1"/>
  <w16cid:commentId w16cid:paraId="07C6C252" w16cid:durableId="260A8D93"/>
  <w16cid:commentId w16cid:paraId="100ADAA6" w16cid:durableId="260A4D4F"/>
  <w16cid:commentId w16cid:paraId="5A9205CD" w16cid:durableId="260A8D95"/>
  <w16cid:commentId w16cid:paraId="0D33162F" w16cid:durableId="260A4DCF"/>
  <w16cid:commentId w16cid:paraId="23B2E8E3" w16cid:durableId="260A8D97"/>
  <w16cid:commentId w16cid:paraId="379ADAEA" w16cid:durableId="260A5D91"/>
  <w16cid:commentId w16cid:paraId="1D259BB2" w16cid:durableId="260A8D99"/>
  <w16cid:commentId w16cid:paraId="15999199" w16cid:durableId="260A8D9A"/>
  <w16cid:commentId w16cid:paraId="79505CB0" w16cid:durableId="260A8E72"/>
  <w16cid:commentId w16cid:paraId="11311415" w16cid:durableId="260A4F11"/>
  <w16cid:commentId w16cid:paraId="4AF48FE5" w16cid:durableId="260A5DD2"/>
  <w16cid:commentId w16cid:paraId="5A1E5E80" w16cid:durableId="260A8EED"/>
  <w16cid:commentId w16cid:paraId="1FCE4880" w16cid:durableId="260A8D9D"/>
  <w16cid:commentId w16cid:paraId="7FCF5BDC" w16cid:durableId="260A8FB6"/>
  <w16cid:commentId w16cid:paraId="09F03F6A" w16cid:durableId="260A4FF5"/>
  <w16cid:commentId w16cid:paraId="1D002DAD" w16cid:durableId="260A8D9F"/>
  <w16cid:commentId w16cid:paraId="6B16358C" w16cid:durableId="260A901D"/>
  <w16cid:commentId w16cid:paraId="75EE56FC" w16cid:durableId="260A5017"/>
  <w16cid:commentId w16cid:paraId="071208D4" w16cid:durableId="260A8DA1"/>
  <w16cid:commentId w16cid:paraId="5F4BB602" w16cid:durableId="260A50A2"/>
  <w16cid:commentId w16cid:paraId="6E3A56A8" w16cid:durableId="260A8DA3"/>
  <w16cid:commentId w16cid:paraId="581CB8D5" w16cid:durableId="260A5045"/>
  <w16cid:commentId w16cid:paraId="777B6227" w16cid:durableId="260A8DA5"/>
  <w16cid:commentId w16cid:paraId="07B0150E" w16cid:durableId="260A507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EE266A" w14:textId="77777777" w:rsidR="00992F52" w:rsidRDefault="00992F52" w:rsidP="00A811F0">
      <w:pPr>
        <w:spacing w:after="0" w:line="240" w:lineRule="auto"/>
      </w:pPr>
      <w:r>
        <w:separator/>
      </w:r>
    </w:p>
  </w:endnote>
  <w:endnote w:type="continuationSeparator" w:id="0">
    <w:p w14:paraId="2A92C671" w14:textId="77777777" w:rsidR="00992F52" w:rsidRDefault="00992F52" w:rsidP="00A81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C12BF9" w14:textId="77777777" w:rsidR="00992F52" w:rsidRDefault="00992F52" w:rsidP="00A811F0">
      <w:pPr>
        <w:spacing w:after="0" w:line="240" w:lineRule="auto"/>
      </w:pPr>
      <w:r>
        <w:separator/>
      </w:r>
    </w:p>
  </w:footnote>
  <w:footnote w:type="continuationSeparator" w:id="0">
    <w:p w14:paraId="55E066D3" w14:textId="77777777" w:rsidR="00992F52" w:rsidRDefault="00992F52" w:rsidP="00A811F0">
      <w:pPr>
        <w:spacing w:after="0" w:line="240" w:lineRule="auto"/>
      </w:pPr>
      <w:r>
        <w:continuationSeparator/>
      </w:r>
    </w:p>
  </w:footnote>
  <w:footnote w:id="1">
    <w:p w14:paraId="62FC2084" w14:textId="1FE8694D" w:rsidR="006D035C" w:rsidRPr="00A811F0" w:rsidRDefault="006D035C" w:rsidP="001F440D">
      <w:pPr>
        <w:pStyle w:val="FootnoteText"/>
        <w:jc w:val="both"/>
        <w:rPr>
          <w:rFonts w:ascii="Cambria" w:hAnsi="Cambria"/>
          <w:color w:val="FF0000"/>
          <w:lang w:val="en-US"/>
        </w:rPr>
      </w:pPr>
      <w:r w:rsidRPr="00A811F0">
        <w:rPr>
          <w:rStyle w:val="FootnoteReference"/>
          <w:rFonts w:ascii="Cambria" w:hAnsi="Cambria"/>
        </w:rPr>
        <w:footnoteRef/>
      </w:r>
      <w:r w:rsidR="00840880">
        <w:rPr>
          <w:rFonts w:ascii="Cambria" w:hAnsi="Cambria"/>
          <w:lang w:val="en-US"/>
        </w:rPr>
        <w:t>In 2019, the Climate Leadership Council published a column signed by 3,354 American economists in the Wall Street Journal to support carbon taxation. A similar statement from the European Association of Environmental and Resource Economists was signed by 1,772 economists.</w:t>
      </w:r>
    </w:p>
  </w:footnote>
  <w:footnote w:id="2">
    <w:p w14:paraId="7D784250" w14:textId="3D106EDF" w:rsidR="00A811F0" w:rsidRPr="00793B22" w:rsidRDefault="00A811F0" w:rsidP="001F440D">
      <w:pPr>
        <w:pStyle w:val="FootnoteText"/>
        <w:jc w:val="both"/>
        <w:rPr>
          <w:lang w:val="en-US"/>
        </w:rPr>
      </w:pPr>
      <w:r w:rsidRPr="00A811F0">
        <w:rPr>
          <w:rStyle w:val="FootnoteReference"/>
          <w:rFonts w:ascii="Cambria" w:hAnsi="Cambria"/>
        </w:rPr>
        <w:footnoteRef/>
      </w:r>
      <w:r w:rsidRPr="00A811F0">
        <w:rPr>
          <w:rFonts w:ascii="Cambria" w:hAnsi="Cambria"/>
          <w:lang w:val="en-US"/>
        </w:rPr>
        <w:t xml:space="preserve"> </w:t>
      </w:r>
      <w:r w:rsidR="00793B22">
        <w:rPr>
          <w:rFonts w:ascii="Cambria" w:hAnsi="Cambria"/>
          <w:lang w:val="en-US"/>
        </w:rPr>
        <w:t xml:space="preserve">Initially introduced in 2014 at a level of </w:t>
      </w:r>
      <w:r w:rsidR="00793B22" w:rsidRPr="00A811F0">
        <w:rPr>
          <w:rFonts w:ascii="Cambria" w:hAnsi="Cambria"/>
          <w:lang w:val="en-US"/>
        </w:rPr>
        <w:t>7€/tCO</w:t>
      </w:r>
      <w:r w:rsidR="00793B22" w:rsidRPr="00A811F0">
        <w:rPr>
          <w:rFonts w:ascii="Cambria" w:hAnsi="Cambria"/>
          <w:vertAlign w:val="subscript"/>
          <w:lang w:val="en-US"/>
        </w:rPr>
        <w:t>2</w:t>
      </w:r>
      <w:r w:rsidR="00793B22">
        <w:rPr>
          <w:rFonts w:ascii="Cambria" w:hAnsi="Cambria"/>
          <w:lang w:val="en-US"/>
        </w:rPr>
        <w:t>, the French carbon tax had grown to 44.6</w:t>
      </w:r>
      <w:r w:rsidR="00793B22" w:rsidRPr="00A811F0">
        <w:rPr>
          <w:rFonts w:ascii="Cambria" w:hAnsi="Cambria"/>
          <w:lang w:val="en-US"/>
        </w:rPr>
        <w:t>€/tCO</w:t>
      </w:r>
      <w:r w:rsidR="00793B22" w:rsidRPr="00A811F0">
        <w:rPr>
          <w:rFonts w:ascii="Cambria" w:hAnsi="Cambria"/>
          <w:vertAlign w:val="subscript"/>
          <w:lang w:val="en-US"/>
        </w:rPr>
        <w:t>2</w:t>
      </w:r>
      <w:r w:rsidR="00793B22">
        <w:rPr>
          <w:rFonts w:ascii="Cambria" w:hAnsi="Cambria"/>
          <w:lang w:val="en-US"/>
        </w:rPr>
        <w:t xml:space="preserve"> in 2018 and was supposed to further increase to reach 86.2</w:t>
      </w:r>
      <w:r w:rsidR="00793B22" w:rsidRPr="00A811F0">
        <w:rPr>
          <w:rFonts w:ascii="Cambria" w:hAnsi="Cambria"/>
          <w:lang w:val="en-US"/>
        </w:rPr>
        <w:t>€/tCO</w:t>
      </w:r>
      <w:r w:rsidR="00793B22" w:rsidRPr="00A811F0">
        <w:rPr>
          <w:rFonts w:ascii="Cambria" w:hAnsi="Cambria"/>
          <w:vertAlign w:val="subscript"/>
          <w:lang w:val="en-US"/>
        </w:rPr>
        <w:t>2</w:t>
      </w:r>
      <w:r w:rsidR="00793B22">
        <w:rPr>
          <w:rFonts w:ascii="Cambria" w:hAnsi="Cambria"/>
          <w:lang w:val="en-US"/>
        </w:rPr>
        <w:t xml:space="preserve"> by 2022. This plan was abandoned in November 2018, following the large scale protests of the Yellow Vests</w:t>
      </w:r>
      <w:r w:rsidR="00793B22" w:rsidRPr="00630CC9">
        <w:rPr>
          <w:rFonts w:ascii="Cambria" w:hAnsi="Cambria"/>
          <w:lang w:val="en-US"/>
        </w:rPr>
        <w:t>—</w:t>
      </w:r>
      <w:r w:rsidR="00793B22">
        <w:rPr>
          <w:rFonts w:ascii="Cambria" w:hAnsi="Cambria"/>
          <w:lang w:val="en-US"/>
        </w:rPr>
        <w:t>at the time largely supported by the public opinion</w:t>
      </w:r>
      <w:r w:rsidR="00793B22" w:rsidRPr="00630CC9">
        <w:rPr>
          <w:rFonts w:ascii="Cambria" w:hAnsi="Cambria"/>
          <w:lang w:val="en-US"/>
        </w:rPr>
        <w:t>—</w:t>
      </w:r>
      <w:r w:rsidR="00793B22">
        <w:rPr>
          <w:rFonts w:ascii="Cambria" w:hAnsi="Cambria"/>
          <w:lang w:val="en-US"/>
        </w:rPr>
        <w:t>in a context of high fuel prices.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D6DC5"/>
    <w:multiLevelType w:val="hybridMultilevel"/>
    <w:tmpl w:val="C3448402"/>
    <w:lvl w:ilvl="0" w:tplc="BAEED45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D43"/>
    <w:rsid w:val="00032497"/>
    <w:rsid w:val="00065F7B"/>
    <w:rsid w:val="00073D76"/>
    <w:rsid w:val="00160DB4"/>
    <w:rsid w:val="001F440D"/>
    <w:rsid w:val="002172A7"/>
    <w:rsid w:val="002D28C6"/>
    <w:rsid w:val="003C2F1A"/>
    <w:rsid w:val="004A3719"/>
    <w:rsid w:val="004D64CA"/>
    <w:rsid w:val="00507307"/>
    <w:rsid w:val="00524EB1"/>
    <w:rsid w:val="00532E34"/>
    <w:rsid w:val="00617A2C"/>
    <w:rsid w:val="00620A57"/>
    <w:rsid w:val="00630CC9"/>
    <w:rsid w:val="00637092"/>
    <w:rsid w:val="006C4D43"/>
    <w:rsid w:val="006D035C"/>
    <w:rsid w:val="00757709"/>
    <w:rsid w:val="00766780"/>
    <w:rsid w:val="00783853"/>
    <w:rsid w:val="00793B22"/>
    <w:rsid w:val="00800720"/>
    <w:rsid w:val="00812773"/>
    <w:rsid w:val="008265BC"/>
    <w:rsid w:val="0083647E"/>
    <w:rsid w:val="00840880"/>
    <w:rsid w:val="00857B3C"/>
    <w:rsid w:val="0086245A"/>
    <w:rsid w:val="008A644E"/>
    <w:rsid w:val="008F3BD6"/>
    <w:rsid w:val="00912577"/>
    <w:rsid w:val="00936E31"/>
    <w:rsid w:val="009431E2"/>
    <w:rsid w:val="00992F52"/>
    <w:rsid w:val="00997137"/>
    <w:rsid w:val="009B4FC9"/>
    <w:rsid w:val="009E44D2"/>
    <w:rsid w:val="009F7285"/>
    <w:rsid w:val="00A44E50"/>
    <w:rsid w:val="00A811F0"/>
    <w:rsid w:val="00AA3E44"/>
    <w:rsid w:val="00AE64ED"/>
    <w:rsid w:val="00B143E3"/>
    <w:rsid w:val="00B56FBA"/>
    <w:rsid w:val="00B61FA3"/>
    <w:rsid w:val="00C07892"/>
    <w:rsid w:val="00C31451"/>
    <w:rsid w:val="00C438DB"/>
    <w:rsid w:val="00CC4E4F"/>
    <w:rsid w:val="00CF4F97"/>
    <w:rsid w:val="00DD2F10"/>
    <w:rsid w:val="00DF425E"/>
    <w:rsid w:val="00F10376"/>
    <w:rsid w:val="00F63A61"/>
    <w:rsid w:val="00F7462A"/>
    <w:rsid w:val="00F75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72DDC"/>
  <w15:chartTrackingRefBased/>
  <w15:docId w15:val="{FFB7FB23-0D99-4333-9354-EAD96C9E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811F0"/>
    <w:pPr>
      <w:spacing w:after="0" w:line="240" w:lineRule="auto"/>
    </w:pPr>
    <w:rPr>
      <w:sz w:val="20"/>
      <w:szCs w:val="20"/>
      <w:lang w:val="nl-NL"/>
    </w:rPr>
  </w:style>
  <w:style w:type="character" w:customStyle="1" w:styleId="FootnoteTextChar">
    <w:name w:val="Footnote Text Char"/>
    <w:basedOn w:val="DefaultParagraphFont"/>
    <w:link w:val="FootnoteText"/>
    <w:uiPriority w:val="99"/>
    <w:semiHidden/>
    <w:rsid w:val="00A811F0"/>
    <w:rPr>
      <w:sz w:val="20"/>
      <w:szCs w:val="20"/>
      <w:lang w:val="nl-NL"/>
    </w:rPr>
  </w:style>
  <w:style w:type="character" w:styleId="FootnoteReference">
    <w:name w:val="footnote reference"/>
    <w:basedOn w:val="DefaultParagraphFont"/>
    <w:uiPriority w:val="99"/>
    <w:semiHidden/>
    <w:unhideWhenUsed/>
    <w:rsid w:val="00A811F0"/>
    <w:rPr>
      <w:vertAlign w:val="superscript"/>
    </w:rPr>
  </w:style>
  <w:style w:type="paragraph" w:styleId="ListParagraph">
    <w:name w:val="List Paragraph"/>
    <w:basedOn w:val="Normal"/>
    <w:uiPriority w:val="34"/>
    <w:qFormat/>
    <w:rsid w:val="00A811F0"/>
    <w:pPr>
      <w:ind w:left="720"/>
      <w:contextualSpacing/>
    </w:pPr>
    <w:rPr>
      <w:lang w:val="nl-NL"/>
    </w:rPr>
  </w:style>
  <w:style w:type="character" w:styleId="Hyperlink">
    <w:name w:val="Hyperlink"/>
    <w:basedOn w:val="DefaultParagraphFont"/>
    <w:uiPriority w:val="99"/>
    <w:unhideWhenUsed/>
    <w:rsid w:val="00C31451"/>
    <w:rPr>
      <w:color w:val="0563C1" w:themeColor="hyperlink"/>
      <w:u w:val="single"/>
    </w:rPr>
  </w:style>
  <w:style w:type="paragraph" w:styleId="Caption">
    <w:name w:val="caption"/>
    <w:basedOn w:val="Normal"/>
    <w:next w:val="Normal"/>
    <w:uiPriority w:val="35"/>
    <w:unhideWhenUsed/>
    <w:qFormat/>
    <w:rsid w:val="00DD2F10"/>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8A644E"/>
    <w:rPr>
      <w:sz w:val="16"/>
      <w:szCs w:val="16"/>
    </w:rPr>
  </w:style>
  <w:style w:type="paragraph" w:styleId="CommentText">
    <w:name w:val="annotation text"/>
    <w:basedOn w:val="Normal"/>
    <w:link w:val="CommentTextChar"/>
    <w:uiPriority w:val="99"/>
    <w:semiHidden/>
    <w:unhideWhenUsed/>
    <w:rsid w:val="008A644E"/>
    <w:pPr>
      <w:spacing w:line="240" w:lineRule="auto"/>
    </w:pPr>
    <w:rPr>
      <w:sz w:val="20"/>
      <w:szCs w:val="20"/>
    </w:rPr>
  </w:style>
  <w:style w:type="character" w:customStyle="1" w:styleId="CommentTextChar">
    <w:name w:val="Comment Text Char"/>
    <w:basedOn w:val="DefaultParagraphFont"/>
    <w:link w:val="CommentText"/>
    <w:uiPriority w:val="99"/>
    <w:semiHidden/>
    <w:rsid w:val="008A644E"/>
    <w:rPr>
      <w:sz w:val="20"/>
      <w:szCs w:val="20"/>
    </w:rPr>
  </w:style>
  <w:style w:type="paragraph" w:styleId="CommentSubject">
    <w:name w:val="annotation subject"/>
    <w:basedOn w:val="CommentText"/>
    <w:next w:val="CommentText"/>
    <w:link w:val="CommentSubjectChar"/>
    <w:uiPriority w:val="99"/>
    <w:semiHidden/>
    <w:unhideWhenUsed/>
    <w:rsid w:val="008A644E"/>
    <w:rPr>
      <w:b/>
      <w:bCs/>
    </w:rPr>
  </w:style>
  <w:style w:type="character" w:customStyle="1" w:styleId="CommentSubjectChar">
    <w:name w:val="Comment Subject Char"/>
    <w:basedOn w:val="CommentTextChar"/>
    <w:link w:val="CommentSubject"/>
    <w:uiPriority w:val="99"/>
    <w:semiHidden/>
    <w:rsid w:val="008A644E"/>
    <w:rPr>
      <w:b/>
      <w:bCs/>
      <w:sz w:val="20"/>
      <w:szCs w:val="20"/>
    </w:rPr>
  </w:style>
  <w:style w:type="paragraph" w:styleId="BalloonText">
    <w:name w:val="Balloon Text"/>
    <w:basedOn w:val="Normal"/>
    <w:link w:val="BalloonTextChar"/>
    <w:uiPriority w:val="99"/>
    <w:semiHidden/>
    <w:unhideWhenUsed/>
    <w:rsid w:val="00065F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5F7B"/>
    <w:rPr>
      <w:rFonts w:ascii="Segoe UI" w:hAnsi="Segoe UI" w:cs="Segoe UI"/>
      <w:sz w:val="18"/>
      <w:szCs w:val="18"/>
    </w:rPr>
  </w:style>
  <w:style w:type="character" w:styleId="FollowedHyperlink">
    <w:name w:val="FollowedHyperlink"/>
    <w:basedOn w:val="DefaultParagraphFont"/>
    <w:uiPriority w:val="99"/>
    <w:semiHidden/>
    <w:unhideWhenUsed/>
    <w:rsid w:val="004A37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10561">
      <w:bodyDiv w:val="1"/>
      <w:marLeft w:val="0"/>
      <w:marRight w:val="0"/>
      <w:marTop w:val="0"/>
      <w:marBottom w:val="0"/>
      <w:divBdr>
        <w:top w:val="none" w:sz="0" w:space="0" w:color="auto"/>
        <w:left w:val="none" w:sz="0" w:space="0" w:color="auto"/>
        <w:bottom w:val="none" w:sz="0" w:space="0" w:color="auto"/>
        <w:right w:val="none" w:sz="0" w:space="0" w:color="auto"/>
      </w:divBdr>
    </w:div>
    <w:div w:id="325984195">
      <w:bodyDiv w:val="1"/>
      <w:marLeft w:val="0"/>
      <w:marRight w:val="0"/>
      <w:marTop w:val="0"/>
      <w:marBottom w:val="0"/>
      <w:divBdr>
        <w:top w:val="none" w:sz="0" w:space="0" w:color="auto"/>
        <w:left w:val="none" w:sz="0" w:space="0" w:color="auto"/>
        <w:bottom w:val="none" w:sz="0" w:space="0" w:color="auto"/>
        <w:right w:val="none" w:sz="0" w:space="0" w:color="auto"/>
      </w:divBdr>
    </w:div>
    <w:div w:id="455494175">
      <w:bodyDiv w:val="1"/>
      <w:marLeft w:val="0"/>
      <w:marRight w:val="0"/>
      <w:marTop w:val="0"/>
      <w:marBottom w:val="0"/>
      <w:divBdr>
        <w:top w:val="none" w:sz="0" w:space="0" w:color="auto"/>
        <w:left w:val="none" w:sz="0" w:space="0" w:color="auto"/>
        <w:bottom w:val="none" w:sz="0" w:space="0" w:color="auto"/>
        <w:right w:val="none" w:sz="0" w:space="0" w:color="auto"/>
      </w:divBdr>
      <w:divsChild>
        <w:div w:id="951280801">
          <w:marLeft w:val="480"/>
          <w:marRight w:val="0"/>
          <w:marTop w:val="0"/>
          <w:marBottom w:val="0"/>
          <w:divBdr>
            <w:top w:val="none" w:sz="0" w:space="0" w:color="auto"/>
            <w:left w:val="none" w:sz="0" w:space="0" w:color="auto"/>
            <w:bottom w:val="none" w:sz="0" w:space="0" w:color="auto"/>
            <w:right w:val="none" w:sz="0" w:space="0" w:color="auto"/>
          </w:divBdr>
          <w:divsChild>
            <w:div w:id="18767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33334">
      <w:bodyDiv w:val="1"/>
      <w:marLeft w:val="0"/>
      <w:marRight w:val="0"/>
      <w:marTop w:val="0"/>
      <w:marBottom w:val="0"/>
      <w:divBdr>
        <w:top w:val="none" w:sz="0" w:space="0" w:color="auto"/>
        <w:left w:val="none" w:sz="0" w:space="0" w:color="auto"/>
        <w:bottom w:val="none" w:sz="0" w:space="0" w:color="auto"/>
        <w:right w:val="none" w:sz="0" w:space="0" w:color="auto"/>
      </w:divBdr>
    </w:div>
    <w:div w:id="1176580405">
      <w:bodyDiv w:val="1"/>
      <w:marLeft w:val="0"/>
      <w:marRight w:val="0"/>
      <w:marTop w:val="0"/>
      <w:marBottom w:val="0"/>
      <w:divBdr>
        <w:top w:val="none" w:sz="0" w:space="0" w:color="auto"/>
        <w:left w:val="none" w:sz="0" w:space="0" w:color="auto"/>
        <w:bottom w:val="none" w:sz="0" w:space="0" w:color="auto"/>
        <w:right w:val="none" w:sz="0" w:space="0" w:color="auto"/>
      </w:divBdr>
    </w:div>
    <w:div w:id="1308052405">
      <w:bodyDiv w:val="1"/>
      <w:marLeft w:val="0"/>
      <w:marRight w:val="0"/>
      <w:marTop w:val="0"/>
      <w:marBottom w:val="0"/>
      <w:divBdr>
        <w:top w:val="none" w:sz="0" w:space="0" w:color="auto"/>
        <w:left w:val="none" w:sz="0" w:space="0" w:color="auto"/>
        <w:bottom w:val="none" w:sz="0" w:space="0" w:color="auto"/>
        <w:right w:val="none" w:sz="0" w:space="0" w:color="auto"/>
      </w:divBdr>
    </w:div>
    <w:div w:id="1368096385">
      <w:bodyDiv w:val="1"/>
      <w:marLeft w:val="0"/>
      <w:marRight w:val="0"/>
      <w:marTop w:val="0"/>
      <w:marBottom w:val="0"/>
      <w:divBdr>
        <w:top w:val="none" w:sz="0" w:space="0" w:color="auto"/>
        <w:left w:val="none" w:sz="0" w:space="0" w:color="auto"/>
        <w:bottom w:val="none" w:sz="0" w:space="0" w:color="auto"/>
        <w:right w:val="none" w:sz="0" w:space="0" w:color="auto"/>
      </w:divBdr>
    </w:div>
    <w:div w:id="1382439602">
      <w:bodyDiv w:val="1"/>
      <w:marLeft w:val="0"/>
      <w:marRight w:val="0"/>
      <w:marTop w:val="0"/>
      <w:marBottom w:val="0"/>
      <w:divBdr>
        <w:top w:val="none" w:sz="0" w:space="0" w:color="auto"/>
        <w:left w:val="none" w:sz="0" w:space="0" w:color="auto"/>
        <w:bottom w:val="none" w:sz="0" w:space="0" w:color="auto"/>
        <w:right w:val="none" w:sz="0" w:space="0" w:color="auto"/>
      </w:divBdr>
    </w:div>
    <w:div w:id="213864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oxeu.org/article/recycling-revenue-improve-political-feasibility-carbon-pricing-uk" TargetMode="Externa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oxeu.org/article/carbon-tax-would-be-less-regressive-energy-efficiency-standards" TargetMode="External"/><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oxeu.org/article/making-carbon-pricing-work-citizen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oxeu.org/article/framework-decarbonise-econ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DC757-AA04-4043-9D47-755B7319A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1678</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19</cp:revision>
  <dcterms:created xsi:type="dcterms:W3CDTF">2022-04-18T10:00:00Z</dcterms:created>
  <dcterms:modified xsi:type="dcterms:W3CDTF">2022-04-20T13:29:00Z</dcterms:modified>
</cp:coreProperties>
</file>