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006E9A" w:rsidRPr="00164705" w:rsidRDefault="003A1DD8">
      <w:pPr>
        <w:pStyle w:val="Titre"/>
        <w:rPr>
          <w:lang w:val="fr-FR"/>
        </w:rPr>
      </w:pPr>
      <w:r w:rsidRPr="00164705">
        <w:rPr>
          <w:lang w:val="fr-FR"/>
        </w:rPr>
        <w:t>Préférences des Français sur la consolidation budgétaire</w:t>
      </w:r>
    </w:p>
    <w:p w:rsidR="00006E9A" w:rsidRPr="00164705" w:rsidRDefault="003A1DD8">
      <w:pPr>
        <w:pStyle w:val="Sous-titre"/>
        <w:rPr>
          <w:lang w:val="fr-FR"/>
        </w:rPr>
      </w:pPr>
      <w:r w:rsidRPr="00164705">
        <w:rPr>
          <w:lang w:val="fr-FR"/>
        </w:rPr>
        <w:t>Résultats d’une enquête représentative (mars 2026)</w:t>
      </w:r>
    </w:p>
    <w:p w:rsidR="00006E9A" w:rsidRPr="00164705" w:rsidRDefault="003A1DD8">
      <w:pPr>
        <w:pStyle w:val="Author"/>
        <w:rPr>
          <w:lang w:val="fr-FR"/>
        </w:rPr>
      </w:pPr>
      <w:r w:rsidRPr="00164705">
        <w:rPr>
          <w:lang w:val="fr-FR"/>
        </w:rPr>
        <w:t>Adrien Fabre — CNRS / CIRED</w:t>
      </w:r>
    </w:p>
    <w:p w:rsidR="00006E9A" w:rsidRPr="00164705" w:rsidRDefault="003A1DD8">
      <w:pPr>
        <w:pStyle w:val="Date"/>
        <w:rPr>
          <w:lang w:val="fr-FR"/>
        </w:rPr>
      </w:pPr>
      <w:r w:rsidRPr="00164705">
        <w:rPr>
          <w:lang w:val="fr-FR"/>
        </w:rPr>
        <w:t>Mai 2026</w:t>
      </w:r>
    </w:p>
    <w:p w:rsidR="00006E9A" w:rsidRPr="00164705" w:rsidRDefault="003A1DD8">
      <w:pPr>
        <w:pStyle w:val="FirstParagraph"/>
        <w:rPr>
          <w:lang w:val="fr-FR"/>
        </w:rPr>
      </w:pPr>
      <w:r w:rsidRPr="00164705">
        <w:rPr>
          <w:b/>
          <w:lang w:val="fr-FR"/>
        </w:rPr>
        <w:t>Objet :</w:t>
      </w:r>
      <w:r w:rsidRPr="00164705">
        <w:rPr>
          <w:lang w:val="fr-FR"/>
        </w:rPr>
        <w:t xml:space="preserve"> Que sont prêts à accepter les Français pour réduire le déficit ?</w:t>
      </w:r>
    </w:p>
    <w:p w:rsidR="00006E9A" w:rsidRDefault="003A1DD8">
      <w:r>
        <w:pict>
          <v:rect id="_x0000_i1025" style="width:0;height:1.5pt" o:hralign="center" o:hrstd="t" o:hr="t"/>
        </w:pict>
      </w:r>
    </w:p>
    <w:p w:rsidR="00006E9A" w:rsidRDefault="003A1DD8">
      <w:pPr>
        <w:pStyle w:val="Titre2"/>
      </w:pPr>
      <w:bookmarkStart w:id="0" w:name="points-clés"/>
      <w:r>
        <w:t>Points clés</w:t>
      </w:r>
      <w:bookmarkEnd w:id="0"/>
    </w:p>
    <w:p w:rsidR="00006E9A" w:rsidRPr="00164705" w:rsidRDefault="003A1DD8">
      <w:pPr>
        <w:pStyle w:val="Compact"/>
        <w:numPr>
          <w:ilvl w:val="0"/>
          <w:numId w:val="3"/>
        </w:numPr>
        <w:rPr>
          <w:lang w:val="fr-FR"/>
        </w:rPr>
      </w:pPr>
      <w:r w:rsidRPr="00164705">
        <w:rPr>
          <w:lang w:val="fr-FR"/>
        </w:rPr>
        <w:t xml:space="preserve">Les Français acceptent en moyenne </w:t>
      </w:r>
      <w:r w:rsidRPr="00164705">
        <w:rPr>
          <w:b/>
          <w:lang w:val="fr-FR"/>
        </w:rPr>
        <w:t>97 milliards</w:t>
      </w:r>
      <w:r w:rsidRPr="00164705">
        <w:rPr>
          <w:lang w:val="fr-FR"/>
        </w:rPr>
        <w:t xml:space="preserve"> de mesures de consolidation — mais au plus </w:t>
      </w:r>
      <w:r w:rsidRPr="00164705">
        <w:rPr>
          <w:b/>
          <w:lang w:val="fr-FR"/>
        </w:rPr>
        <w:t>34 %</w:t>
      </w:r>
      <w:r w:rsidRPr="00164705">
        <w:rPr>
          <w:lang w:val="fr-FR"/>
        </w:rPr>
        <w:t xml:space="preserve"> accepteraient conjointement un programme </w:t>
      </w:r>
      <w:r w:rsidR="00164705">
        <w:rPr>
          <w:lang w:val="fr-FR"/>
        </w:rPr>
        <w:t xml:space="preserve">donné </w:t>
      </w:r>
      <w:r w:rsidRPr="00164705">
        <w:rPr>
          <w:lang w:val="fr-FR"/>
        </w:rPr>
        <w:t>à 90 milliards.</w:t>
      </w:r>
    </w:p>
    <w:p w:rsidR="00006E9A" w:rsidRPr="00164705" w:rsidRDefault="003A1DD8">
      <w:pPr>
        <w:pStyle w:val="Compact"/>
        <w:numPr>
          <w:ilvl w:val="0"/>
          <w:numId w:val="3"/>
        </w:numPr>
        <w:rPr>
          <w:lang w:val="fr-FR"/>
        </w:rPr>
      </w:pPr>
      <w:r w:rsidRPr="00164705">
        <w:rPr>
          <w:lang w:val="fr-FR"/>
        </w:rPr>
        <w:t xml:space="preserve">Le plus grand programme soutenu par </w:t>
      </w:r>
      <w:r w:rsidRPr="00164705">
        <w:rPr>
          <w:b/>
          <w:lang w:val="fr-FR"/>
        </w:rPr>
        <w:t>une même majorité</w:t>
      </w:r>
      <w:r w:rsidRPr="00164705">
        <w:rPr>
          <w:lang w:val="fr-FR"/>
        </w:rPr>
        <w:t xml:space="preserve"> totalise </w:t>
      </w:r>
      <w:r w:rsidRPr="00164705">
        <w:rPr>
          <w:b/>
          <w:lang w:val="fr-FR"/>
        </w:rPr>
        <w:t>70 milliards</w:t>
      </w:r>
      <w:r w:rsidRPr="00164705">
        <w:rPr>
          <w:lang w:val="fr-FR"/>
        </w:rPr>
        <w:t xml:space="preserve"> : gel des dépenses, taxation</w:t>
      </w:r>
      <w:r w:rsidRPr="00164705">
        <w:rPr>
          <w:lang w:val="fr-FR"/>
        </w:rPr>
        <w:t xml:space="preserve"> des plus aisés, taxes écologiques.</w:t>
      </w:r>
    </w:p>
    <w:p w:rsidR="00006E9A" w:rsidRPr="00164705" w:rsidRDefault="003A1DD8">
      <w:pPr>
        <w:pStyle w:val="Compact"/>
        <w:numPr>
          <w:ilvl w:val="0"/>
          <w:numId w:val="3"/>
        </w:numPr>
        <w:rPr>
          <w:lang w:val="fr-FR"/>
        </w:rPr>
      </w:pPr>
      <w:r w:rsidRPr="00164705">
        <w:rPr>
          <w:lang w:val="fr-FR"/>
        </w:rPr>
        <w:t>Retraite à 65 ans et hausses de TVA/CSG sont massivement rejetés.</w:t>
      </w:r>
    </w:p>
    <w:p w:rsidR="00006E9A" w:rsidRPr="00164705" w:rsidRDefault="003A1DD8">
      <w:pPr>
        <w:pStyle w:val="Compact"/>
        <w:numPr>
          <w:ilvl w:val="0"/>
          <w:numId w:val="3"/>
        </w:numPr>
        <w:rPr>
          <w:lang w:val="fr-FR"/>
        </w:rPr>
      </w:pPr>
      <w:r w:rsidRPr="00164705">
        <w:rPr>
          <w:lang w:val="fr-FR"/>
        </w:rPr>
        <w:t>Même chez les électeurs de droite, une majorité soutient l’ISF et le RIC.</w:t>
      </w:r>
    </w:p>
    <w:p w:rsidR="00006E9A" w:rsidRDefault="003A1DD8">
      <w:r>
        <w:pict>
          <v:rect id="_x0000_i1026" style="width:0;height:1.5pt" o:hralign="center" o:hrstd="t" o:hr="t"/>
        </w:pict>
      </w:r>
    </w:p>
    <w:p w:rsidR="00006E9A" w:rsidRPr="00164705" w:rsidRDefault="003A1DD8">
      <w:pPr>
        <w:pStyle w:val="Titre2"/>
        <w:rPr>
          <w:lang w:val="fr-FR"/>
        </w:rPr>
      </w:pPr>
      <w:bookmarkStart w:id="1" w:name="méthode"/>
      <w:r w:rsidRPr="00164705">
        <w:rPr>
          <w:lang w:val="fr-FR"/>
        </w:rPr>
        <w:t>Méthode</w:t>
      </w:r>
      <w:bookmarkEnd w:id="1"/>
    </w:p>
    <w:p w:rsidR="00006E9A" w:rsidRPr="00164705" w:rsidRDefault="003A1DD8">
      <w:pPr>
        <w:pStyle w:val="FirstParagraph"/>
        <w:rPr>
          <w:lang w:val="fr-FR"/>
        </w:rPr>
      </w:pPr>
      <w:r w:rsidRPr="00164705">
        <w:rPr>
          <w:lang w:val="fr-FR"/>
        </w:rPr>
        <w:t xml:space="preserve">Enquête en ligne auprès de </w:t>
      </w:r>
      <w:r w:rsidRPr="00164705">
        <w:rPr>
          <w:b/>
          <w:lang w:val="fr-FR"/>
        </w:rPr>
        <w:t>1 000 résidents français adultes</w:t>
      </w:r>
      <w:r w:rsidRPr="00164705">
        <w:rPr>
          <w:lang w:val="fr-FR"/>
        </w:rPr>
        <w:t xml:space="preserve"> (6–20 mars</w:t>
      </w:r>
      <w:r w:rsidRPr="00164705">
        <w:rPr>
          <w:lang w:val="fr-FR"/>
        </w:rPr>
        <w:t xml:space="preserve"> 2026, panel Bilendi), représentative par quotas sur le genre, l’âge, le niveau de vie, le diplôme, la région et le type d’agglomération. Pour chaque mesure budgétaire, les répondants choisissent entre </w:t>
      </w:r>
      <w:r w:rsidRPr="00164705">
        <w:rPr>
          <w:i/>
          <w:lang w:val="fr-FR"/>
        </w:rPr>
        <w:t>souhaitable</w:t>
      </w:r>
      <w:r w:rsidRPr="00164705">
        <w:rPr>
          <w:lang w:val="fr-FR"/>
        </w:rPr>
        <w:t xml:space="preserve">, </w:t>
      </w:r>
      <w:r w:rsidRPr="00164705">
        <w:rPr>
          <w:i/>
          <w:lang w:val="fr-FR"/>
        </w:rPr>
        <w:t>convenable</w:t>
      </w:r>
      <w:r w:rsidRPr="00164705">
        <w:rPr>
          <w:lang w:val="fr-FR"/>
        </w:rPr>
        <w:t xml:space="preserve">, </w:t>
      </w:r>
      <w:r w:rsidRPr="00164705">
        <w:rPr>
          <w:i/>
          <w:lang w:val="fr-FR"/>
        </w:rPr>
        <w:t>supportable</w:t>
      </w:r>
      <w:r w:rsidRPr="00164705">
        <w:rPr>
          <w:lang w:val="fr-FR"/>
        </w:rPr>
        <w:t xml:space="preserve"> et </w:t>
      </w:r>
      <w:r w:rsidRPr="00164705">
        <w:rPr>
          <w:i/>
          <w:lang w:val="fr-FR"/>
        </w:rPr>
        <w:t>inacceptable</w:t>
      </w:r>
      <w:r w:rsidRPr="00164705">
        <w:rPr>
          <w:lang w:val="fr-FR"/>
        </w:rPr>
        <w:t>.</w:t>
      </w:r>
    </w:p>
    <w:p w:rsidR="00006E9A" w:rsidRDefault="003A1DD8">
      <w:r>
        <w:pict>
          <v:rect id="_x0000_i1027" style="width:0;height:1.5pt" o:hralign="center" o:hrstd="t" o:hr="t"/>
        </w:pict>
      </w:r>
    </w:p>
    <w:p w:rsidR="00006E9A" w:rsidRPr="00164705" w:rsidRDefault="003A1DD8">
      <w:pPr>
        <w:pStyle w:val="Titre2"/>
        <w:rPr>
          <w:lang w:val="fr-FR"/>
        </w:rPr>
      </w:pPr>
      <w:bookmarkStart w:id="2" w:name="ce-que-les-français-acceptent-et-refusen"/>
      <w:r w:rsidRPr="00164705">
        <w:rPr>
          <w:lang w:val="fr-FR"/>
        </w:rPr>
        <w:t>Ce que les Français acceptent et refusent</w:t>
      </w:r>
      <w:bookmarkEnd w:id="2"/>
    </w:p>
    <w:p w:rsidR="00006E9A" w:rsidRPr="00164705" w:rsidRDefault="003A1DD8">
      <w:pPr>
        <w:pStyle w:val="FirstParagraph"/>
        <w:rPr>
          <w:lang w:val="fr-FR"/>
        </w:rPr>
      </w:pPr>
      <w:r w:rsidRPr="00164705">
        <w:rPr>
          <w:b/>
          <w:lang w:val="fr-FR"/>
        </w:rPr>
        <w:t>Soutien majoritaire :</w:t>
      </w:r>
      <w:r w:rsidRPr="00164705">
        <w:rPr>
          <w:lang w:val="fr-FR"/>
        </w:rPr>
        <w:t xml:space="preserve"> rationalisation des dépenses publiques (gel, doublons territoriaux) ; taxes sur les plus aisés (ISF, IR, droits de succession) ; suppression des aides aux étrangers ; taxes sectorielles sur </w:t>
      </w:r>
      <w:r w:rsidRPr="00164705">
        <w:rPr>
          <w:lang w:val="fr-FR"/>
        </w:rPr>
        <w:t>les carburants.</w:t>
      </w:r>
    </w:p>
    <w:p w:rsidR="00006E9A" w:rsidRPr="00164705" w:rsidRDefault="003A1DD8">
      <w:pPr>
        <w:pStyle w:val="Corpsdetexte"/>
        <w:rPr>
          <w:lang w:val="fr-FR"/>
        </w:rPr>
      </w:pPr>
      <w:r w:rsidRPr="00164705">
        <w:rPr>
          <w:b/>
          <w:lang w:val="fr-FR"/>
        </w:rPr>
        <w:t>Rejet majoritaire :</w:t>
      </w:r>
      <w:r w:rsidRPr="00164705">
        <w:rPr>
          <w:lang w:val="fr-FR"/>
        </w:rPr>
        <w:t xml:space="preserve"> report de la retraite à 65 ans </w:t>
      </w:r>
      <w:r w:rsidRPr="00164705">
        <w:rPr>
          <w:i/>
          <w:lang w:val="fr-FR"/>
        </w:rPr>
        <w:t>(inacceptable pour 40 %)</w:t>
      </w:r>
      <w:r w:rsidRPr="00164705">
        <w:rPr>
          <w:lang w:val="fr-FR"/>
        </w:rPr>
        <w:t xml:space="preserve"> ; hausse de la TVA ; hausse de la CSG.</w:t>
      </w:r>
    </w:p>
    <w:p w:rsidR="00006E9A" w:rsidRDefault="003A1DD8">
      <w:r>
        <w:pict>
          <v:rect id="_x0000_i1028" style="width:0;height:1.5pt" o:hralign="center" o:hrstd="t" o:hr="t"/>
        </w:pict>
      </w:r>
    </w:p>
    <w:p w:rsidR="00006E9A" w:rsidRPr="00164705" w:rsidRDefault="003A1DD8">
      <w:pPr>
        <w:pStyle w:val="Titre2"/>
        <w:rPr>
          <w:lang w:val="fr-FR"/>
        </w:rPr>
      </w:pPr>
      <w:bookmarkStart w:id="3" w:name="le-paquet-majoritaire"/>
      <w:r w:rsidRPr="00164705">
        <w:rPr>
          <w:lang w:val="fr-FR"/>
        </w:rPr>
        <w:t>Le paquet majoritaire</w:t>
      </w:r>
      <w:bookmarkEnd w:id="3"/>
    </w:p>
    <w:p w:rsidR="00006E9A" w:rsidRPr="00164705" w:rsidRDefault="003A1DD8">
      <w:pPr>
        <w:pStyle w:val="FirstParagraph"/>
        <w:rPr>
          <w:lang w:val="fr-FR"/>
        </w:rPr>
      </w:pPr>
      <w:r w:rsidRPr="00164705">
        <w:rPr>
          <w:lang w:val="fr-FR"/>
        </w:rPr>
        <w:t>Le plus grand ensemble de mesures qu’</w:t>
      </w:r>
      <w:r w:rsidRPr="00164705">
        <w:rPr>
          <w:b/>
          <w:lang w:val="fr-FR"/>
        </w:rPr>
        <w:t>une même majorité</w:t>
      </w:r>
      <w:r w:rsidRPr="00164705">
        <w:rPr>
          <w:lang w:val="fr-FR"/>
        </w:rPr>
        <w:t xml:space="preserve"> accepte conjointement totalise </w:t>
      </w:r>
      <w:r w:rsidRPr="00164705">
        <w:rPr>
          <w:b/>
          <w:lang w:val="fr-FR"/>
        </w:rPr>
        <w:t>69,6 milliards</w:t>
      </w:r>
      <w:r w:rsidRPr="00164705">
        <w:rPr>
          <w:lang w:val="fr-FR"/>
        </w:rPr>
        <w:t xml:space="preserve"> </w:t>
      </w:r>
      <w:r w:rsidRPr="00164705">
        <w:rPr>
          <w:lang w:val="fr-FR"/>
        </w:rPr>
        <w:t>:</w:t>
      </w:r>
    </w:p>
    <w:tbl>
      <w:tblPr>
        <w:tblStyle w:val="Table"/>
        <w:tblW w:w="0" w:type="pct"/>
        <w:jc w:val="center"/>
        <w:tblLook w:val="07E0" w:firstRow="1" w:lastRow="1" w:firstColumn="1" w:lastColumn="1" w:noHBand="1" w:noVBand="1"/>
      </w:tblPr>
      <w:tblGrid>
        <w:gridCol w:w="6406"/>
        <w:gridCol w:w="852"/>
      </w:tblGrid>
      <w:tr w:rsidR="00006E9A" w:rsidTr="00164705">
        <w:trPr>
          <w:jc w:val="center"/>
        </w:trPr>
        <w:tc>
          <w:tcPr>
            <w:tcW w:w="0" w:type="auto"/>
            <w:tcBorders>
              <w:bottom w:val="single" w:sz="0" w:space="0" w:color="auto"/>
            </w:tcBorders>
            <w:vAlign w:val="bottom"/>
          </w:tcPr>
          <w:p w:rsidR="00006E9A" w:rsidRDefault="003A1DD8">
            <w:pPr>
              <w:pStyle w:val="Compact"/>
            </w:pPr>
            <w:r>
              <w:lastRenderedPageBreak/>
              <w:t>Mesure</w:t>
            </w:r>
          </w:p>
        </w:tc>
        <w:tc>
          <w:tcPr>
            <w:tcW w:w="0" w:type="auto"/>
            <w:tcBorders>
              <w:bottom w:val="single" w:sz="0" w:space="0" w:color="auto"/>
            </w:tcBorders>
            <w:vAlign w:val="bottom"/>
          </w:tcPr>
          <w:p w:rsidR="00006E9A" w:rsidRDefault="003A1DD8">
            <w:pPr>
              <w:pStyle w:val="Compact"/>
              <w:jc w:val="right"/>
            </w:pPr>
            <w:r>
              <w:t>Mds €</w:t>
            </w:r>
          </w:p>
        </w:tc>
      </w:tr>
      <w:tr w:rsidR="00006E9A" w:rsidTr="00164705">
        <w:trPr>
          <w:jc w:val="center"/>
        </w:trPr>
        <w:tc>
          <w:tcPr>
            <w:tcW w:w="0" w:type="auto"/>
          </w:tcPr>
          <w:p w:rsidR="00006E9A" w:rsidRPr="00164705" w:rsidRDefault="003A1DD8">
            <w:pPr>
              <w:pStyle w:val="Compact"/>
              <w:rPr>
                <w:lang w:val="fr-FR"/>
              </w:rPr>
            </w:pPr>
            <w:r w:rsidRPr="00164705">
              <w:rPr>
                <w:lang w:val="fr-FR"/>
              </w:rPr>
              <w:t>Gel des dépenses + élimination des doublons territoriaux</w:t>
            </w:r>
          </w:p>
        </w:tc>
        <w:tc>
          <w:tcPr>
            <w:tcW w:w="0" w:type="auto"/>
          </w:tcPr>
          <w:p w:rsidR="00006E9A" w:rsidRDefault="003A1DD8">
            <w:pPr>
              <w:pStyle w:val="Compact"/>
              <w:jc w:val="right"/>
            </w:pPr>
            <w:r>
              <w:t>30,4</w:t>
            </w:r>
          </w:p>
        </w:tc>
      </w:tr>
      <w:tr w:rsidR="00006E9A" w:rsidTr="00164705">
        <w:trPr>
          <w:jc w:val="center"/>
        </w:trPr>
        <w:tc>
          <w:tcPr>
            <w:tcW w:w="0" w:type="auto"/>
          </w:tcPr>
          <w:p w:rsidR="00006E9A" w:rsidRPr="00164705" w:rsidRDefault="003A1DD8">
            <w:pPr>
              <w:pStyle w:val="Compact"/>
              <w:rPr>
                <w:lang w:val="fr-FR"/>
              </w:rPr>
            </w:pPr>
            <w:r w:rsidRPr="00164705">
              <w:rPr>
                <w:lang w:val="fr-FR"/>
              </w:rPr>
              <w:t>Taxation des plus aisés (ISF, taxe d’habitation, IR)</w:t>
            </w:r>
          </w:p>
        </w:tc>
        <w:tc>
          <w:tcPr>
            <w:tcW w:w="0" w:type="auto"/>
          </w:tcPr>
          <w:p w:rsidR="00006E9A" w:rsidRDefault="003A1DD8">
            <w:pPr>
              <w:pStyle w:val="Compact"/>
              <w:jc w:val="right"/>
            </w:pPr>
            <w:r>
              <w:t>25,0</w:t>
            </w:r>
          </w:p>
        </w:tc>
      </w:tr>
      <w:tr w:rsidR="00006E9A" w:rsidTr="00164705">
        <w:trPr>
          <w:jc w:val="center"/>
        </w:trPr>
        <w:tc>
          <w:tcPr>
            <w:tcW w:w="0" w:type="auto"/>
          </w:tcPr>
          <w:p w:rsidR="00006E9A" w:rsidRPr="00164705" w:rsidRDefault="003A1DD8">
            <w:pPr>
              <w:pStyle w:val="Compact"/>
              <w:rPr>
                <w:lang w:val="fr-FR"/>
              </w:rPr>
            </w:pPr>
            <w:r w:rsidRPr="00164705">
              <w:rPr>
                <w:lang w:val="fr-FR"/>
              </w:rPr>
              <w:t>Suppression des exonérations sectorielles sur les carburants</w:t>
            </w:r>
          </w:p>
        </w:tc>
        <w:tc>
          <w:tcPr>
            <w:tcW w:w="0" w:type="auto"/>
          </w:tcPr>
          <w:p w:rsidR="00006E9A" w:rsidRDefault="003A1DD8">
            <w:pPr>
              <w:pStyle w:val="Compact"/>
              <w:jc w:val="right"/>
            </w:pPr>
            <w:r>
              <w:t>14,2</w:t>
            </w:r>
          </w:p>
        </w:tc>
      </w:tr>
    </w:tbl>
    <w:p w:rsidR="00006E9A" w:rsidRPr="00164705" w:rsidRDefault="003A1DD8">
      <w:pPr>
        <w:pStyle w:val="Corpsdetexte"/>
        <w:rPr>
          <w:lang w:val="fr-FR"/>
        </w:rPr>
      </w:pPr>
      <w:r w:rsidRPr="00164705">
        <w:rPr>
          <w:lang w:val="fr-FR"/>
        </w:rPr>
        <w:t>Ce paquet est soutenu par 57 % des électeurs de gauche et par une majorité d’une coalition LÉ–PS–Centre.</w:t>
      </w:r>
    </w:p>
    <w:p w:rsidR="00006E9A" w:rsidRDefault="003A1DD8">
      <w:r>
        <w:pict>
          <v:rect id="_x0000_i1029" style="width:0;height:1.5pt" o:hralign="center" o:hrstd="t" o:hr="t"/>
        </w:pict>
      </w:r>
    </w:p>
    <w:p w:rsidR="00006E9A" w:rsidRPr="00164705" w:rsidRDefault="003A1DD8">
      <w:pPr>
        <w:pStyle w:val="Titre2"/>
        <w:rPr>
          <w:lang w:val="fr-FR"/>
        </w:rPr>
      </w:pPr>
      <w:bookmarkStart w:id="4" w:name="les-français-diffèrent-de-leur-parti"/>
      <w:r w:rsidRPr="00164705">
        <w:rPr>
          <w:lang w:val="fr-FR"/>
        </w:rPr>
        <w:t>Les Français diffèrent de leur parti</w:t>
      </w:r>
      <w:bookmarkEnd w:id="4"/>
    </w:p>
    <w:p w:rsidR="00006E9A" w:rsidRPr="00164705" w:rsidRDefault="003A1DD8">
      <w:pPr>
        <w:pStyle w:val="FirstParagraph"/>
        <w:rPr>
          <w:lang w:val="fr-FR"/>
        </w:rPr>
      </w:pPr>
      <w:r w:rsidRPr="00164705">
        <w:rPr>
          <w:lang w:val="fr-FR"/>
        </w:rPr>
        <w:t xml:space="preserve">La dispersion des préférences </w:t>
      </w:r>
      <w:r w:rsidRPr="00164705">
        <w:rPr>
          <w:i/>
          <w:lang w:val="fr-FR"/>
        </w:rPr>
        <w:t>au sein</w:t>
      </w:r>
      <w:r w:rsidRPr="00164705">
        <w:rPr>
          <w:lang w:val="fr-FR"/>
        </w:rPr>
        <w:t xml:space="preserve"> </w:t>
      </w:r>
      <w:r w:rsidR="00164705">
        <w:rPr>
          <w:lang w:val="fr-FR"/>
        </w:rPr>
        <w:t>de l’électorat d’un parti</w:t>
      </w:r>
      <w:r w:rsidRPr="00164705">
        <w:rPr>
          <w:lang w:val="fr-FR"/>
        </w:rPr>
        <w:t xml:space="preserve"> dépasse la distance </w:t>
      </w:r>
      <w:r w:rsidRPr="00164705">
        <w:rPr>
          <w:i/>
          <w:lang w:val="fr-FR"/>
        </w:rPr>
        <w:t>entre</w:t>
      </w:r>
      <w:r w:rsidRPr="00164705">
        <w:rPr>
          <w:lang w:val="fr-FR"/>
        </w:rPr>
        <w:t xml:space="preserve"> partis : les électeurs ne se reconnaissent que partiellement dans les programmes. En pratique, l’ISF et le référendum d’initiative citoyenne (RIC) sont soutenus par une majorité dans </w:t>
      </w:r>
      <w:r w:rsidRPr="00164705">
        <w:rPr>
          <w:i/>
          <w:lang w:val="fr-FR"/>
        </w:rPr>
        <w:t>chaque parti</w:t>
      </w:r>
      <w:r w:rsidRPr="00164705">
        <w:rPr>
          <w:lang w:val="fr-FR"/>
        </w:rPr>
        <w:t>, y compris à d</w:t>
      </w:r>
      <w:r w:rsidRPr="00164705">
        <w:rPr>
          <w:lang w:val="fr-FR"/>
        </w:rPr>
        <w:t>roite.</w:t>
      </w:r>
    </w:p>
    <w:p w:rsidR="00006E9A" w:rsidRDefault="003A1DD8">
      <w:r>
        <w:pict>
          <v:rect id="_x0000_i1030" style="width:0;height:1.5pt" o:hralign="center" o:hrstd="t" o:hr="t"/>
        </w:pict>
      </w:r>
    </w:p>
    <w:p w:rsidR="00006E9A" w:rsidRDefault="003A1DD8">
      <w:pPr>
        <w:pStyle w:val="Titre2"/>
      </w:pPr>
      <w:bookmarkStart w:id="5" w:name="implications-pour-le-prochain-budget"/>
      <w:r>
        <w:t>Implications pour le prochain budget</w:t>
      </w:r>
      <w:bookmarkEnd w:id="5"/>
    </w:p>
    <w:p w:rsidR="00006E9A" w:rsidRPr="00164705" w:rsidRDefault="003A1DD8">
      <w:pPr>
        <w:pStyle w:val="Compact"/>
        <w:numPr>
          <w:ilvl w:val="0"/>
          <w:numId w:val="4"/>
        </w:numPr>
        <w:rPr>
          <w:lang w:val="fr-FR"/>
        </w:rPr>
      </w:pPr>
      <w:r w:rsidRPr="00164705">
        <w:rPr>
          <w:b/>
          <w:lang w:val="fr-FR"/>
        </w:rPr>
        <w:t>Un socle consensuel existe</w:t>
      </w:r>
      <w:r w:rsidRPr="00164705">
        <w:rPr>
          <w:lang w:val="fr-FR"/>
        </w:rPr>
        <w:t xml:space="preserve"> : gel des dépenses + ISF + taxes écologiques peut rassembler une majorité transpartisane.</w:t>
      </w:r>
    </w:p>
    <w:p w:rsidR="00006E9A" w:rsidRPr="00164705" w:rsidRDefault="003A1DD8">
      <w:pPr>
        <w:pStyle w:val="Compact"/>
        <w:numPr>
          <w:ilvl w:val="0"/>
          <w:numId w:val="4"/>
        </w:numPr>
        <w:rPr>
          <w:lang w:val="fr-FR"/>
        </w:rPr>
      </w:pPr>
      <w:r w:rsidRPr="00164705">
        <w:rPr>
          <w:b/>
          <w:lang w:val="fr-FR"/>
        </w:rPr>
        <w:t>La taxation des plus aisés est incontournable</w:t>
      </w:r>
      <w:r w:rsidRPr="00164705">
        <w:rPr>
          <w:lang w:val="fr-FR"/>
        </w:rPr>
        <w:t xml:space="preserve"> </w:t>
      </w:r>
      <w:r w:rsidRPr="00164705">
        <w:rPr>
          <w:lang w:val="fr-FR"/>
        </w:rPr>
        <w:t>: même les électeurs de droite y sont majoritairement favorables.</w:t>
      </w:r>
    </w:p>
    <w:p w:rsidR="00006E9A" w:rsidRPr="00164705" w:rsidRDefault="003A1DD8">
      <w:pPr>
        <w:pStyle w:val="Compact"/>
        <w:numPr>
          <w:ilvl w:val="0"/>
          <w:numId w:val="4"/>
        </w:numPr>
        <w:rPr>
          <w:lang w:val="fr-FR"/>
        </w:rPr>
      </w:pPr>
      <w:r w:rsidRPr="00164705">
        <w:rPr>
          <w:b/>
          <w:lang w:val="fr-FR"/>
        </w:rPr>
        <w:t>La retraite à 65 ans est un repoussoir</w:t>
      </w:r>
      <w:r w:rsidRPr="00164705">
        <w:rPr>
          <w:lang w:val="fr-FR"/>
        </w:rPr>
        <w:t xml:space="preserve"> : un système à points (neutralité budgétaire, libre choix de l’âge) serait politiquement plus défendable</w:t>
      </w:r>
      <w:r w:rsidR="00164705">
        <w:rPr>
          <w:lang w:val="fr-FR"/>
        </w:rPr>
        <w:t>, si réforme il doit y avoir</w:t>
      </w:r>
      <w:r w:rsidRPr="00164705">
        <w:rPr>
          <w:lang w:val="fr-FR"/>
        </w:rPr>
        <w:t>.</w:t>
      </w:r>
    </w:p>
    <w:p w:rsidR="00006E9A" w:rsidRPr="00164705" w:rsidRDefault="003A1DD8">
      <w:pPr>
        <w:pStyle w:val="Compact"/>
        <w:numPr>
          <w:ilvl w:val="0"/>
          <w:numId w:val="4"/>
        </w:numPr>
        <w:rPr>
          <w:lang w:val="fr-FR"/>
        </w:rPr>
      </w:pPr>
      <w:r w:rsidRPr="00164705">
        <w:rPr>
          <w:b/>
          <w:lang w:val="fr-FR"/>
        </w:rPr>
        <w:t>La fragmentation des préférences est une oppo</w:t>
      </w:r>
      <w:r w:rsidRPr="00164705">
        <w:rPr>
          <w:b/>
          <w:lang w:val="fr-FR"/>
        </w:rPr>
        <w:t>rtunité</w:t>
      </w:r>
      <w:r w:rsidRPr="00164705">
        <w:rPr>
          <w:lang w:val="fr-FR"/>
        </w:rPr>
        <w:t xml:space="preserve"> : un programme combinant redistribution, </w:t>
      </w:r>
      <w:r w:rsidR="00164705">
        <w:rPr>
          <w:lang w:val="fr-FR"/>
        </w:rPr>
        <w:t>crédibilité</w:t>
      </w:r>
      <w:r w:rsidRPr="00164705">
        <w:rPr>
          <w:lang w:val="fr-FR"/>
        </w:rPr>
        <w:t xml:space="preserve"> </w:t>
      </w:r>
      <w:r w:rsidR="00164705">
        <w:rPr>
          <w:lang w:val="fr-FR"/>
        </w:rPr>
        <w:t xml:space="preserve">budgétaire </w:t>
      </w:r>
      <w:r w:rsidRPr="00164705">
        <w:rPr>
          <w:lang w:val="fr-FR"/>
        </w:rPr>
        <w:t>et fermeté judiciaire peut capter des électeurs au-delà des frontières partisanes habituelles.</w:t>
      </w:r>
    </w:p>
    <w:p w:rsidR="00006E9A" w:rsidRDefault="003A1DD8">
      <w:r>
        <w:pict>
          <v:rect id="_x0000_i1031" style="width:0;height:1.5pt" o:hralign="center" o:hrstd="t" o:hr="t"/>
        </w:pict>
      </w:r>
    </w:p>
    <w:p w:rsidR="00006E9A" w:rsidRPr="00164705" w:rsidRDefault="00164705">
      <w:pPr>
        <w:pStyle w:val="FirstParagraph"/>
        <w:rPr>
          <w:lang w:val="fr-FR"/>
        </w:rPr>
      </w:pPr>
      <w:hyperlink r:id="rId7" w:history="1">
        <w:r w:rsidRPr="00164705">
          <w:rPr>
            <w:rStyle w:val="Lienhypertexte"/>
            <w:i/>
            <w:u w:val="single"/>
            <w:lang w:val="fr-FR"/>
          </w:rPr>
          <w:t xml:space="preserve">Note </w:t>
        </w:r>
        <w:r w:rsidR="003A1DD8" w:rsidRPr="00164705">
          <w:rPr>
            <w:rStyle w:val="Lienhypertexte"/>
            <w:i/>
            <w:u w:val="single"/>
            <w:lang w:val="fr-FR"/>
          </w:rPr>
          <w:t>détaillé</w:t>
        </w:r>
        <w:r w:rsidRPr="00164705">
          <w:rPr>
            <w:rStyle w:val="Lienhypertexte"/>
            <w:i/>
            <w:u w:val="single"/>
            <w:lang w:val="fr-FR"/>
          </w:rPr>
          <w:t>e</w:t>
        </w:r>
      </w:hyperlink>
      <w:r>
        <w:rPr>
          <w:i/>
          <w:lang w:val="fr-FR"/>
        </w:rPr>
        <w:t xml:space="preserve"> </w:t>
      </w:r>
      <w:r w:rsidR="003A1DD8" w:rsidRPr="00164705">
        <w:rPr>
          <w:lang w:val="fr-FR"/>
        </w:rPr>
        <w:t xml:space="preserve">— </w:t>
      </w:r>
      <w:r w:rsidR="003A1DD8" w:rsidRPr="00164705">
        <w:rPr>
          <w:i/>
          <w:lang w:val="fr-FR"/>
        </w:rPr>
        <w:t>Contact : adrien.fabre@cnrs.fr</w:t>
      </w:r>
      <w:bookmarkStart w:id="6" w:name="_GoBack"/>
      <w:bookmarkEnd w:id="6"/>
    </w:p>
    <w:sectPr w:rsidR="00006E9A" w:rsidRPr="00164705">
      <w:pgSz w:w="12240" w:h="15840"/>
      <w:pgMar w:top="1440" w:right="1440" w:bottom="1440" w:left="144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3A1DD8" w:rsidRDefault="003A1DD8">
      <w:pPr>
        <w:spacing w:after="0"/>
      </w:pPr>
      <w:r>
        <w:separator/>
      </w:r>
    </w:p>
  </w:endnote>
  <w:endnote w:type="continuationSeparator" w:id="0">
    <w:p w:rsidR="003A1DD8" w:rsidRDefault="003A1DD8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3A1DD8" w:rsidRDefault="003A1DD8">
      <w:r>
        <w:separator/>
      </w:r>
    </w:p>
  </w:footnote>
  <w:footnote w:type="continuationSeparator" w:id="0">
    <w:p w:rsidR="003A1DD8" w:rsidRDefault="003A1DD8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EA454B4C"/>
    <w:multiLevelType w:val="multilevel"/>
    <w:tmpl w:val="0D56FBB0"/>
    <w:lvl w:ilvl="0">
      <w:numFmt w:val="bullet"/>
      <w:lvlText w:val="•"/>
      <w:lvlJc w:val="left"/>
      <w:pPr>
        <w:tabs>
          <w:tab w:val="num" w:pos="0"/>
        </w:tabs>
        <w:ind w:left="480" w:hanging="480"/>
      </w:pPr>
    </w:lvl>
    <w:lvl w:ilvl="1">
      <w:numFmt w:val="bullet"/>
      <w:lvlText w:val="–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•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–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•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–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•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–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•"/>
      <w:lvlJc w:val="left"/>
      <w:pPr>
        <w:tabs>
          <w:tab w:val="num" w:pos="5760"/>
        </w:tabs>
        <w:ind w:left="6240" w:hanging="480"/>
      </w:pPr>
    </w:lvl>
  </w:abstractNum>
  <w:abstractNum w:abstractNumId="1" w15:restartNumberingAfterBreak="0">
    <w:nsid w:val="170CD2DE"/>
    <w:multiLevelType w:val="multilevel"/>
    <w:tmpl w:val="03E83E7C"/>
    <w:lvl w:ilvl="0">
      <w:numFmt w:val="bullet"/>
      <w:lvlText w:val=" "/>
      <w:lvlJc w:val="left"/>
      <w:pPr>
        <w:tabs>
          <w:tab w:val="num" w:pos="0"/>
        </w:tabs>
        <w:ind w:left="480" w:hanging="480"/>
      </w:pPr>
    </w:lvl>
    <w:lvl w:ilvl="1">
      <w:numFmt w:val="bullet"/>
      <w:lvlText w:val=" 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 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 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 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 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 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 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 "/>
      <w:lvlJc w:val="left"/>
      <w:pPr>
        <w:tabs>
          <w:tab w:val="num" w:pos="5760"/>
        </w:tabs>
        <w:ind w:left="6240" w:hanging="480"/>
      </w:pPr>
    </w:lvl>
  </w:abstractNum>
  <w:abstractNum w:abstractNumId="2" w15:restartNumberingAfterBreak="0">
    <w:nsid w:val="2C1AE401"/>
    <w:multiLevelType w:val="multilevel"/>
    <w:tmpl w:val="7B001514"/>
    <w:lvl w:ilvl="0">
      <w:numFmt w:val="bullet"/>
      <w:lvlText w:val=" "/>
      <w:lvlJc w:val="left"/>
      <w:pPr>
        <w:tabs>
          <w:tab w:val="num" w:pos="0"/>
        </w:tabs>
        <w:ind w:left="480" w:hanging="480"/>
      </w:pPr>
    </w:lvl>
    <w:lvl w:ilvl="1">
      <w:numFmt w:val="bullet"/>
      <w:lvlText w:val=" 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 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 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 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 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 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 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 "/>
      <w:lvlJc w:val="left"/>
      <w:pPr>
        <w:tabs>
          <w:tab w:val="num" w:pos="5760"/>
        </w:tabs>
        <w:ind w:left="6240" w:hanging="480"/>
      </w:pPr>
    </w:lvl>
  </w:abstractNum>
  <w:abstractNum w:abstractNumId="3" w15:restartNumberingAfterBreak="0">
    <w:nsid w:val="71315DCA"/>
    <w:multiLevelType w:val="multilevel"/>
    <w:tmpl w:val="47D075D4"/>
    <w:lvl w:ilvl="0">
      <w:start w:val="1"/>
      <w:numFmt w:val="decimal"/>
      <w:lvlText w:val="%1."/>
      <w:lvlJc w:val="left"/>
      <w:pPr>
        <w:tabs>
          <w:tab w:val="num" w:pos="0"/>
        </w:tabs>
        <w:ind w:left="480" w:hanging="480"/>
      </w:pPr>
    </w:lvl>
    <w:lvl w:ilvl="1">
      <w:start w:val="1"/>
      <w:numFmt w:val="decimal"/>
      <w:lvlText w:val="%2."/>
      <w:lvlJc w:val="left"/>
      <w:pPr>
        <w:tabs>
          <w:tab w:val="num" w:pos="720"/>
        </w:tabs>
        <w:ind w:left="1200" w:hanging="48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920" w:hanging="480"/>
      </w:pPr>
    </w:lvl>
    <w:lvl w:ilvl="3">
      <w:start w:val="1"/>
      <w:numFmt w:val="decimal"/>
      <w:lvlText w:val="%4."/>
      <w:lvlJc w:val="left"/>
      <w:pPr>
        <w:tabs>
          <w:tab w:val="num" w:pos="2160"/>
        </w:tabs>
        <w:ind w:left="2640" w:hanging="480"/>
      </w:pPr>
    </w:lvl>
    <w:lvl w:ilvl="4">
      <w:start w:val="1"/>
      <w:numFmt w:val="decimal"/>
      <w:lvlText w:val="%5."/>
      <w:lvlJc w:val="left"/>
      <w:pPr>
        <w:tabs>
          <w:tab w:val="num" w:pos="2880"/>
        </w:tabs>
        <w:ind w:left="3360" w:hanging="480"/>
      </w:pPr>
    </w:lvl>
    <w:lvl w:ilvl="5">
      <w:start w:val="1"/>
      <w:numFmt w:val="decimal"/>
      <w:lvlText w:val="%6."/>
      <w:lvlJc w:val="left"/>
      <w:pPr>
        <w:tabs>
          <w:tab w:val="num" w:pos="3600"/>
        </w:tabs>
        <w:ind w:left="4080" w:hanging="480"/>
      </w:pPr>
    </w:lvl>
    <w:lvl w:ilvl="6">
      <w:start w:val="1"/>
      <w:numFmt w:val="decimal"/>
      <w:lvlText w:val="%7."/>
      <w:lvlJc w:val="left"/>
      <w:pPr>
        <w:tabs>
          <w:tab w:val="num" w:pos="4320"/>
        </w:tabs>
        <w:ind w:left="4800" w:hanging="480"/>
      </w:pPr>
    </w:lvl>
    <w:lvl w:ilvl="7">
      <w:start w:val="1"/>
      <w:numFmt w:val="decimal"/>
      <w:lvlText w:val="%8."/>
      <w:lvlJc w:val="left"/>
      <w:pPr>
        <w:tabs>
          <w:tab w:val="num" w:pos="5040"/>
        </w:tabs>
        <w:ind w:left="5520" w:hanging="480"/>
      </w:pPr>
    </w:lvl>
    <w:lvl w:ilvl="8">
      <w:start w:val="1"/>
      <w:numFmt w:val="decimal"/>
      <w:lvlText w:val="%9."/>
      <w:lvlJc w:val="left"/>
      <w:pPr>
        <w:tabs>
          <w:tab w:val="num" w:pos="5760"/>
        </w:tabs>
        <w:ind w:left="6240" w:hanging="480"/>
      </w:pPr>
    </w:lvl>
  </w:abstractNum>
  <w:num w:numId="1">
    <w:abstractNumId w:val="1"/>
  </w:num>
  <w:num w:numId="2">
    <w:abstractNumId w:val="1"/>
  </w:num>
  <w:num w:numId="3">
    <w:abstractNumId w:val="0"/>
  </w:num>
  <w:num w:numId="4">
    <w:abstractNumId w:val="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30"/>
  <w:embedSystemFonts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</w:compat>
  <w:rsids>
    <w:rsidRoot w:val="00590D07"/>
    <w:rsid w:val="00006E9A"/>
    <w:rsid w:val="00011C8B"/>
    <w:rsid w:val="00164705"/>
    <w:rsid w:val="003A1DD8"/>
    <w:rsid w:val="004E29B3"/>
    <w:rsid w:val="00590D07"/>
    <w:rsid w:val="00784D58"/>
    <w:rsid w:val="008D6863"/>
    <w:rsid w:val="00B86B75"/>
    <w:rsid w:val="00BC48D5"/>
    <w:rsid w:val="00C36279"/>
    <w:rsid w:val="00E315A3"/>
  </w:rsids>
  <m:mathPr>
    <m:mathFont m:val="Cambria Math"/>
    <m:brkBin m:val="before"/>
    <m:brkBinSub m:val="--"/>
    <m:smallFrac m:val="0"/>
    <m:dispDef m:val="0"/>
    <m:lMargin m:val="0"/>
    <m:rMargin m:val="0"/>
    <m:defJc m:val="centerGroup"/>
    <m:wrapRight/>
    <m:intLim m:val="subSup"/>
    <m:naryLim m:val="subSup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28D6F38"/>
  <w15:docId w15:val="{B0D503E5-225E-4F0B-B8A2-B7EFAD4A05E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1">
    <w:lsdException w:name="index 1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3" w:semiHidden="1" w:unhideWhenUsed="1"/>
    <w:lsdException w:name="List Number 4" w:semiHidden="1" w:unhideWhenUsed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Bibliography" w:semiHidden="1" w:unhideWhenUsed="1"/>
    <w:lsdException w:name="TOC Heading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Corpsdetexte"/>
    <w:uiPriority w:val="9"/>
    <w:qFormat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45A8A" w:themeColor="accent1" w:themeShade="B5"/>
      <w:sz w:val="32"/>
      <w:szCs w:val="32"/>
    </w:rPr>
  </w:style>
  <w:style w:type="paragraph" w:styleId="Titre2">
    <w:name w:val="heading 2"/>
    <w:basedOn w:val="Normal"/>
    <w:next w:val="Corpsdetexte"/>
    <w:uiPriority w:val="9"/>
    <w:unhideWhenUsed/>
    <w:qFormat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32"/>
      <w:szCs w:val="32"/>
    </w:rPr>
  </w:style>
  <w:style w:type="paragraph" w:styleId="Titre3">
    <w:name w:val="heading 3"/>
    <w:basedOn w:val="Normal"/>
    <w:next w:val="Corpsdetexte"/>
    <w:uiPriority w:val="9"/>
    <w:unhideWhenUsed/>
    <w:qFormat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sz w:val="28"/>
      <w:szCs w:val="28"/>
    </w:rPr>
  </w:style>
  <w:style w:type="paragraph" w:styleId="Titre4">
    <w:name w:val="heading 4"/>
    <w:basedOn w:val="Normal"/>
    <w:next w:val="Corpsdetexte"/>
    <w:uiPriority w:val="9"/>
    <w:unhideWhenUsed/>
    <w:qFormat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re5">
    <w:name w:val="heading 5"/>
    <w:basedOn w:val="Normal"/>
    <w:next w:val="Corpsdetexte"/>
    <w:uiPriority w:val="9"/>
    <w:unhideWhenUsed/>
    <w:qFormat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i/>
      <w:iCs/>
      <w:color w:val="4F81BD" w:themeColor="accent1"/>
    </w:rPr>
  </w:style>
  <w:style w:type="paragraph" w:styleId="Titre6">
    <w:name w:val="heading 6"/>
    <w:basedOn w:val="Normal"/>
    <w:next w:val="Corpsdetexte"/>
    <w:uiPriority w:val="9"/>
    <w:unhideWhenUsed/>
    <w:qFormat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color w:val="4F81BD" w:themeColor="accent1"/>
    </w:rPr>
  </w:style>
  <w:style w:type="paragraph" w:styleId="Titre7">
    <w:name w:val="heading 7"/>
    <w:basedOn w:val="Normal"/>
    <w:next w:val="Corpsdetexte"/>
    <w:uiPriority w:val="9"/>
    <w:unhideWhenUsed/>
    <w:qFormat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color w:val="4F81BD" w:themeColor="accent1"/>
    </w:rPr>
  </w:style>
  <w:style w:type="paragraph" w:styleId="Titre8">
    <w:name w:val="heading 8"/>
    <w:basedOn w:val="Normal"/>
    <w:next w:val="Corpsdetexte"/>
    <w:uiPriority w:val="9"/>
    <w:unhideWhenUsed/>
    <w:qFormat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</w:rPr>
  </w:style>
  <w:style w:type="paragraph" w:styleId="Titre9">
    <w:name w:val="heading 9"/>
    <w:basedOn w:val="Normal"/>
    <w:next w:val="Corpsdetexte"/>
    <w:uiPriority w:val="9"/>
    <w:unhideWhenUsed/>
    <w:qFormat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color w:val="4F81BD" w:themeColor="accent1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Corpsdetexte">
    <w:name w:val="Body Text"/>
    <w:basedOn w:val="Normal"/>
    <w:qFormat/>
    <w:pPr>
      <w:spacing w:before="180" w:after="180"/>
    </w:pPr>
  </w:style>
  <w:style w:type="paragraph" w:customStyle="1" w:styleId="FirstParagraph">
    <w:name w:val="First Paragraph"/>
    <w:basedOn w:val="Corpsdetexte"/>
    <w:next w:val="Corpsdetexte"/>
    <w:qFormat/>
  </w:style>
  <w:style w:type="paragraph" w:customStyle="1" w:styleId="Compact">
    <w:name w:val="Compact"/>
    <w:basedOn w:val="Corpsdetexte"/>
    <w:qFormat/>
    <w:pPr>
      <w:spacing w:before="36" w:after="36"/>
    </w:pPr>
  </w:style>
  <w:style w:type="paragraph" w:styleId="Titre">
    <w:name w:val="Title"/>
    <w:basedOn w:val="Normal"/>
    <w:next w:val="Corpsdetexte"/>
    <w:qFormat/>
    <w:pPr>
      <w:keepNext/>
      <w:keepLines/>
      <w:spacing w:before="480" w:after="240"/>
      <w:jc w:val="center"/>
    </w:pPr>
    <w:rPr>
      <w:rFonts w:asciiTheme="majorHAnsi" w:eastAsiaTheme="majorEastAsia" w:hAnsiTheme="majorHAnsi" w:cstheme="majorBidi"/>
      <w:b/>
      <w:bCs/>
      <w:color w:val="345A8A" w:themeColor="accent1" w:themeShade="B5"/>
      <w:sz w:val="36"/>
      <w:szCs w:val="36"/>
    </w:rPr>
  </w:style>
  <w:style w:type="paragraph" w:styleId="Sous-titre">
    <w:name w:val="Subtitle"/>
    <w:basedOn w:val="Titre"/>
    <w:next w:val="Corpsdetexte"/>
    <w:qFormat/>
    <w:pPr>
      <w:spacing w:before="240"/>
    </w:pPr>
    <w:rPr>
      <w:sz w:val="30"/>
      <w:szCs w:val="30"/>
    </w:rPr>
  </w:style>
  <w:style w:type="paragraph" w:customStyle="1" w:styleId="Author">
    <w:name w:val="Author"/>
    <w:next w:val="Corpsdetexte"/>
    <w:qFormat/>
    <w:pPr>
      <w:keepNext/>
      <w:keepLines/>
      <w:jc w:val="center"/>
    </w:pPr>
  </w:style>
  <w:style w:type="paragraph" w:styleId="Date">
    <w:name w:val="Date"/>
    <w:next w:val="Corpsdetexte"/>
    <w:qFormat/>
    <w:pPr>
      <w:keepNext/>
      <w:keepLines/>
      <w:jc w:val="center"/>
    </w:pPr>
  </w:style>
  <w:style w:type="paragraph" w:customStyle="1" w:styleId="Abstract">
    <w:name w:val="Abstract"/>
    <w:basedOn w:val="Normal"/>
    <w:next w:val="Corpsdetexte"/>
    <w:qFormat/>
    <w:pPr>
      <w:keepNext/>
      <w:keepLines/>
      <w:spacing w:before="300" w:after="300"/>
    </w:pPr>
    <w:rPr>
      <w:sz w:val="20"/>
      <w:szCs w:val="20"/>
    </w:rPr>
  </w:style>
  <w:style w:type="paragraph" w:styleId="Bibliographie">
    <w:name w:val="Bibliography"/>
    <w:basedOn w:val="Normal"/>
    <w:qFormat/>
  </w:style>
  <w:style w:type="paragraph" w:styleId="Normalcentr">
    <w:name w:val="Block Text"/>
    <w:basedOn w:val="Corpsdetexte"/>
    <w:next w:val="Corpsdetexte"/>
    <w:uiPriority w:val="9"/>
    <w:unhideWhenUsed/>
    <w:qFormat/>
    <w:pPr>
      <w:spacing w:before="100" w:after="100"/>
    </w:pPr>
    <w:rPr>
      <w:rFonts w:asciiTheme="majorHAnsi" w:eastAsiaTheme="majorEastAsia" w:hAnsiTheme="majorHAnsi" w:cstheme="majorBidi"/>
      <w:bCs/>
      <w:sz w:val="20"/>
      <w:szCs w:val="20"/>
    </w:rPr>
  </w:style>
  <w:style w:type="paragraph" w:styleId="Notedebasdepage">
    <w:name w:val="footnote text"/>
    <w:basedOn w:val="Normal"/>
    <w:uiPriority w:val="9"/>
    <w:unhideWhenUsed/>
    <w:qFormat/>
  </w:style>
  <w:style w:type="table" w:customStyle="1" w:styleId="Table">
    <w:name w:val="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Lgende">
    <w:name w:val="caption"/>
    <w:basedOn w:val="Normal"/>
    <w:link w:val="LgendeCar"/>
    <w:pPr>
      <w:spacing w:after="120"/>
    </w:pPr>
    <w:rPr>
      <w:i/>
    </w:rPr>
  </w:style>
  <w:style w:type="paragraph" w:customStyle="1" w:styleId="TableCaption">
    <w:name w:val="Table Caption"/>
    <w:basedOn w:val="Lgende"/>
    <w:pPr>
      <w:keepNext/>
    </w:pPr>
  </w:style>
  <w:style w:type="paragraph" w:customStyle="1" w:styleId="ImageCaption">
    <w:name w:val="Image Caption"/>
    <w:basedOn w:val="Lgende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LgendeCar">
    <w:name w:val="Légende Car"/>
    <w:basedOn w:val="Policepardfaut"/>
    <w:link w:val="Lgende"/>
  </w:style>
  <w:style w:type="character" w:customStyle="1" w:styleId="VerbatimChar">
    <w:name w:val="Verbatim Char"/>
    <w:basedOn w:val="LgendeCar"/>
    <w:link w:val="SourceCode"/>
    <w:rPr>
      <w:rFonts w:ascii="Consolas" w:hAnsi="Consolas"/>
      <w:sz w:val="22"/>
    </w:rPr>
  </w:style>
  <w:style w:type="character" w:styleId="Appelnotedebasdep">
    <w:name w:val="footnote reference"/>
    <w:basedOn w:val="LgendeCar"/>
    <w:rPr>
      <w:vertAlign w:val="superscript"/>
    </w:rPr>
  </w:style>
  <w:style w:type="character" w:styleId="Lienhypertexte">
    <w:name w:val="Hyperlink"/>
    <w:basedOn w:val="LgendeCar"/>
    <w:rPr>
      <w:color w:val="4F81BD" w:themeColor="accent1"/>
    </w:rPr>
  </w:style>
  <w:style w:type="paragraph" w:styleId="En-ttedetabledesmatires">
    <w:name w:val="TOC Heading"/>
    <w:basedOn w:val="Titre1"/>
    <w:next w:val="Corpsdetexte"/>
    <w:uiPriority w:val="39"/>
    <w:unhideWhenUsed/>
    <w:qFormat/>
    <w:pPr>
      <w:spacing w:before="240" w:line="259" w:lineRule="auto"/>
      <w:outlineLvl w:val="9"/>
    </w:pPr>
    <w:rPr>
      <w:b w:val="0"/>
      <w:bCs w:val="0"/>
      <w:color w:val="365F91" w:themeColor="accent1" w:themeShade="BF"/>
    </w:rPr>
  </w:style>
  <w:style w:type="paragraph" w:customStyle="1" w:styleId="SourceCode">
    <w:name w:val="Source Code"/>
    <w:basedOn w:val="Normal"/>
    <w:link w:val="VerbatimChar"/>
    <w:pPr>
      <w:wordWrap w:val="0"/>
    </w:pPr>
  </w:style>
  <w:style w:type="character" w:customStyle="1" w:styleId="KeywordTok">
    <w:name w:val="KeywordTok"/>
    <w:basedOn w:val="VerbatimChar"/>
    <w:rPr>
      <w:rFonts w:ascii="Consolas" w:hAnsi="Consolas"/>
      <w:b/>
      <w:color w:val="007020"/>
      <w:sz w:val="22"/>
    </w:rPr>
  </w:style>
  <w:style w:type="character" w:customStyle="1" w:styleId="DataTypeTok">
    <w:name w:val="DataTypeTok"/>
    <w:basedOn w:val="VerbatimChar"/>
    <w:rPr>
      <w:rFonts w:ascii="Consolas" w:hAnsi="Consolas"/>
      <w:color w:val="902000"/>
      <w:sz w:val="22"/>
    </w:rPr>
  </w:style>
  <w:style w:type="character" w:customStyle="1" w:styleId="DecValTok">
    <w:name w:val="DecValTok"/>
    <w:basedOn w:val="VerbatimChar"/>
    <w:rPr>
      <w:rFonts w:ascii="Consolas" w:hAnsi="Consolas"/>
      <w:color w:val="40A070"/>
      <w:sz w:val="22"/>
    </w:rPr>
  </w:style>
  <w:style w:type="character" w:customStyle="1" w:styleId="BaseNTok">
    <w:name w:val="BaseNTok"/>
    <w:basedOn w:val="VerbatimChar"/>
    <w:rPr>
      <w:rFonts w:ascii="Consolas" w:hAnsi="Consolas"/>
      <w:color w:val="40A070"/>
      <w:sz w:val="22"/>
    </w:rPr>
  </w:style>
  <w:style w:type="character" w:customStyle="1" w:styleId="FloatTok">
    <w:name w:val="FloatTok"/>
    <w:basedOn w:val="VerbatimChar"/>
    <w:rPr>
      <w:rFonts w:ascii="Consolas" w:hAnsi="Consolas"/>
      <w:color w:val="40A070"/>
      <w:sz w:val="22"/>
    </w:rPr>
  </w:style>
  <w:style w:type="character" w:customStyle="1" w:styleId="ConstantTok">
    <w:name w:val="ConstantTok"/>
    <w:basedOn w:val="VerbatimChar"/>
    <w:rPr>
      <w:rFonts w:ascii="Consolas" w:hAnsi="Consolas"/>
      <w:color w:val="880000"/>
      <w:sz w:val="22"/>
    </w:rPr>
  </w:style>
  <w:style w:type="character" w:customStyle="1" w:styleId="CharTok">
    <w:name w:val="CharTok"/>
    <w:basedOn w:val="VerbatimChar"/>
    <w:rPr>
      <w:rFonts w:ascii="Consolas" w:hAnsi="Consolas"/>
      <w:color w:val="4070A0"/>
      <w:sz w:val="22"/>
    </w:rPr>
  </w:style>
  <w:style w:type="character" w:customStyle="1" w:styleId="SpecialCharTok">
    <w:name w:val="SpecialCharTok"/>
    <w:basedOn w:val="VerbatimChar"/>
    <w:rPr>
      <w:rFonts w:ascii="Consolas" w:hAnsi="Consolas"/>
      <w:color w:val="4070A0"/>
      <w:sz w:val="22"/>
    </w:rPr>
  </w:style>
  <w:style w:type="character" w:customStyle="1" w:styleId="StringTok">
    <w:name w:val="StringTok"/>
    <w:basedOn w:val="VerbatimChar"/>
    <w:rPr>
      <w:rFonts w:ascii="Consolas" w:hAnsi="Consolas"/>
      <w:color w:val="4070A0"/>
      <w:sz w:val="22"/>
    </w:rPr>
  </w:style>
  <w:style w:type="character" w:customStyle="1" w:styleId="VerbatimStringTok">
    <w:name w:val="VerbatimStringTok"/>
    <w:basedOn w:val="VerbatimChar"/>
    <w:rPr>
      <w:rFonts w:ascii="Consolas" w:hAnsi="Consolas"/>
      <w:color w:val="4070A0"/>
      <w:sz w:val="22"/>
    </w:rPr>
  </w:style>
  <w:style w:type="character" w:customStyle="1" w:styleId="SpecialStringTok">
    <w:name w:val="SpecialStringTok"/>
    <w:basedOn w:val="VerbatimChar"/>
    <w:rPr>
      <w:rFonts w:ascii="Consolas" w:hAnsi="Consolas"/>
      <w:color w:val="BB6688"/>
      <w:sz w:val="22"/>
    </w:rPr>
  </w:style>
  <w:style w:type="character" w:customStyle="1" w:styleId="ImportTok">
    <w:name w:val="ImportTok"/>
    <w:basedOn w:val="VerbatimChar"/>
    <w:rPr>
      <w:rFonts w:ascii="Consolas" w:hAnsi="Consolas"/>
      <w:sz w:val="22"/>
    </w:rPr>
  </w:style>
  <w:style w:type="character" w:customStyle="1" w:styleId="CommentTok">
    <w:name w:val="CommentTok"/>
    <w:basedOn w:val="VerbatimChar"/>
    <w:rPr>
      <w:rFonts w:ascii="Consolas" w:hAnsi="Consolas"/>
      <w:i/>
      <w:color w:val="60A0B0"/>
      <w:sz w:val="22"/>
    </w:rPr>
  </w:style>
  <w:style w:type="character" w:customStyle="1" w:styleId="DocumentationTok">
    <w:name w:val="DocumentationTok"/>
    <w:basedOn w:val="VerbatimChar"/>
    <w:rPr>
      <w:rFonts w:ascii="Consolas" w:hAnsi="Consolas"/>
      <w:i/>
      <w:color w:val="BA2121"/>
      <w:sz w:val="22"/>
    </w:rPr>
  </w:style>
  <w:style w:type="character" w:customStyle="1" w:styleId="AnnotationTok">
    <w:name w:val="Annot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CommentVarTok">
    <w:name w:val="CommentVar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OtherTok">
    <w:name w:val="OtherTok"/>
    <w:basedOn w:val="VerbatimChar"/>
    <w:rPr>
      <w:rFonts w:ascii="Consolas" w:hAnsi="Consolas"/>
      <w:color w:val="007020"/>
      <w:sz w:val="22"/>
    </w:rPr>
  </w:style>
  <w:style w:type="character" w:customStyle="1" w:styleId="FunctionTok">
    <w:name w:val="FunctionTok"/>
    <w:basedOn w:val="VerbatimChar"/>
    <w:rPr>
      <w:rFonts w:ascii="Consolas" w:hAnsi="Consolas"/>
      <w:color w:val="06287E"/>
      <w:sz w:val="22"/>
    </w:rPr>
  </w:style>
  <w:style w:type="character" w:customStyle="1" w:styleId="VariableTok">
    <w:name w:val="VariableTok"/>
    <w:basedOn w:val="VerbatimChar"/>
    <w:rPr>
      <w:rFonts w:ascii="Consolas" w:hAnsi="Consolas"/>
      <w:color w:val="19177C"/>
      <w:sz w:val="22"/>
    </w:rPr>
  </w:style>
  <w:style w:type="character" w:customStyle="1" w:styleId="ControlFlowTok">
    <w:name w:val="ControlFlowTok"/>
    <w:basedOn w:val="VerbatimChar"/>
    <w:rPr>
      <w:rFonts w:ascii="Consolas" w:hAnsi="Consolas"/>
      <w:b/>
      <w:color w:val="007020"/>
      <w:sz w:val="22"/>
    </w:rPr>
  </w:style>
  <w:style w:type="character" w:customStyle="1" w:styleId="OperatorTok">
    <w:name w:val="OperatorTok"/>
    <w:basedOn w:val="VerbatimChar"/>
    <w:rPr>
      <w:rFonts w:ascii="Consolas" w:hAnsi="Consolas"/>
      <w:color w:val="666666"/>
      <w:sz w:val="22"/>
    </w:rPr>
  </w:style>
  <w:style w:type="character" w:customStyle="1" w:styleId="BuiltInTok">
    <w:name w:val="BuiltInTok"/>
    <w:basedOn w:val="VerbatimChar"/>
    <w:rPr>
      <w:rFonts w:ascii="Consolas" w:hAnsi="Consolas"/>
      <w:sz w:val="22"/>
    </w:rPr>
  </w:style>
  <w:style w:type="character" w:customStyle="1" w:styleId="ExtensionTok">
    <w:name w:val="ExtensionTok"/>
    <w:basedOn w:val="VerbatimChar"/>
    <w:rPr>
      <w:rFonts w:ascii="Consolas" w:hAnsi="Consolas"/>
      <w:sz w:val="22"/>
    </w:rPr>
  </w:style>
  <w:style w:type="character" w:customStyle="1" w:styleId="PreprocessorTok">
    <w:name w:val="PreprocessorTok"/>
    <w:basedOn w:val="VerbatimChar"/>
    <w:rPr>
      <w:rFonts w:ascii="Consolas" w:hAnsi="Consolas"/>
      <w:color w:val="BC7A00"/>
      <w:sz w:val="22"/>
    </w:rPr>
  </w:style>
  <w:style w:type="character" w:customStyle="1" w:styleId="AttributeTok">
    <w:name w:val="AttributeTok"/>
    <w:basedOn w:val="VerbatimChar"/>
    <w:rPr>
      <w:rFonts w:ascii="Consolas" w:hAnsi="Consolas"/>
      <w:color w:val="7D9029"/>
      <w:sz w:val="22"/>
    </w:rPr>
  </w:style>
  <w:style w:type="character" w:customStyle="1" w:styleId="RegionMarkerTok">
    <w:name w:val="RegionMarkerTok"/>
    <w:basedOn w:val="VerbatimChar"/>
    <w:rPr>
      <w:rFonts w:ascii="Consolas" w:hAnsi="Consolas"/>
      <w:sz w:val="22"/>
    </w:rPr>
  </w:style>
  <w:style w:type="character" w:customStyle="1" w:styleId="InformationTok">
    <w:name w:val="Inform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WarningTok">
    <w:name w:val="Warning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AlertTok">
    <w:name w:val="AlertTok"/>
    <w:basedOn w:val="VerbatimChar"/>
    <w:rPr>
      <w:rFonts w:ascii="Consolas" w:hAnsi="Consolas"/>
      <w:b/>
      <w:color w:val="FF0000"/>
      <w:sz w:val="22"/>
    </w:rPr>
  </w:style>
  <w:style w:type="character" w:customStyle="1" w:styleId="ErrorTok">
    <w:name w:val="ErrorTok"/>
    <w:basedOn w:val="VerbatimChar"/>
    <w:rPr>
      <w:rFonts w:ascii="Consolas" w:hAnsi="Consolas"/>
      <w:b/>
      <w:color w:val="FF0000"/>
      <w:sz w:val="22"/>
    </w:rPr>
  </w:style>
  <w:style w:type="character" w:customStyle="1" w:styleId="NormalTok">
    <w:name w:val="NormalTok"/>
    <w:basedOn w:val="VerbatimChar"/>
    <w:rPr>
      <w:rFonts w:ascii="Consolas" w:hAnsi="Consolas"/>
      <w:sz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2064016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469624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3284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https://github.com/bixiou/budget_26/raw/main/papers/budget.pdf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</TotalTime>
  <Pages>2</Pages>
  <Words>441</Words>
  <Characters>2516</Characters>
  <Application>Microsoft Office Word</Application>
  <DocSecurity>0</DocSecurity>
  <Lines>20</Lines>
  <Paragraphs>5</Paragraphs>
  <ScaleCrop>false</ScaleCrop>
  <Company/>
  <LinksUpToDate>false</LinksUpToDate>
  <CharactersWithSpaces>2952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Préférences des Français sur la consolidation budgétaire</dc:title>
  <dc:creator>Adrien Fabre — CNRS / CIRED</dc:creator>
  <cp:keywords/>
  <cp:lastModifiedBy>reviewer</cp:lastModifiedBy>
  <cp:revision>2</cp:revision>
  <dcterms:created xsi:type="dcterms:W3CDTF">2026-05-14T15:38:00Z</dcterms:created>
  <dcterms:modified xsi:type="dcterms:W3CDTF">2026-05-14T15:44:00Z</dcterms:modified>
</cp:coreProperties>
</file>