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234DAC2B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>
        <w:rPr>
          <w:rFonts w:cstheme="minorHAnsi"/>
        </w:rPr>
        <w:t>, 2024</w:t>
      </w:r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365796F5" w14:textId="68DE51F6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5946FD02" w14:textId="49314D19" w:rsidR="008836B0" w:rsidRPr="00370F77" w:rsidRDefault="000F6AF3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steadily increasing carbon price floor starting at $5/tCO</w:t>
      </w:r>
      <w:r w:rsidRPr="000F6AF3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would ensure incentives to decarbonize.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7DF443BE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The benchmark carbon budget for a given country is g</w:t>
      </w:r>
      <w:r w:rsidR="00361A61">
        <w:rPr>
          <w:rFonts w:cstheme="minorHAnsi"/>
          <w:sz w:val="24"/>
        </w:rPr>
        <w:t>iven by equal rights per capita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1ED7C656" w14:textId="2F17516A" w:rsidR="00361A61" w:rsidRDefault="00361A61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is </w:t>
      </w:r>
      <w:r w:rsidR="002D30EF">
        <w:rPr>
          <w:rFonts w:cstheme="minorHAnsi"/>
          <w:sz w:val="24"/>
        </w:rPr>
        <w:t>set</w:t>
      </w:r>
      <w:r>
        <w:rPr>
          <w:rFonts w:cstheme="minorHAnsi"/>
          <w:sz w:val="24"/>
        </w:rPr>
        <w:t xml:space="preserve"> as the global carbon budget divided by the initial year (2030) population.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Given its carbon budget, a country’s allowance </w:t>
      </w:r>
      <w:r w:rsidRPr="004C1111">
        <w:rPr>
          <w:rFonts w:cstheme="minorHAnsi"/>
          <w:i/>
          <w:sz w:val="24"/>
        </w:rPr>
        <w:t>trajectory</w:t>
      </w:r>
      <w:r>
        <w:rPr>
          <w:rFonts w:cstheme="minorHAnsi"/>
          <w:sz w:val="24"/>
        </w:rPr>
        <w:t xml:space="preserve"> is tailored to its emission needs.</w:t>
      </w:r>
    </w:p>
    <w:p w14:paraId="743FB992" w14:textId="70D26057" w:rsidR="00361A61" w:rsidRDefault="00E720BA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</w:t>
      </w:r>
      <w:r w:rsidR="00361A61">
        <w:rPr>
          <w:rFonts w:cstheme="minorHAnsi"/>
          <w:sz w:val="24"/>
        </w:rPr>
        <w:t xml:space="preserve">own </w:t>
      </w:r>
      <w:r w:rsidR="00DB778F">
        <w:rPr>
          <w:rFonts w:cstheme="minorHAnsi"/>
          <w:sz w:val="24"/>
        </w:rPr>
        <w:t>decarbonization pathway.</w:t>
      </w:r>
    </w:p>
    <w:p w14:paraId="51C6D6ED" w14:textId="66A861F2" w:rsidR="00DB778F" w:rsidRPr="00DB778F" w:rsidRDefault="00DB778F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Further departures from the benchmark allocation can be agreed by a qualified majority.</w:t>
      </w:r>
    </w:p>
    <w:tbl>
      <w:tblPr>
        <w:tblStyle w:val="Grilledutableau"/>
        <w:tblpPr w:leftFromText="180" w:rightFromText="180" w:vertAnchor="text" w:horzAnchor="margin" w:tblpY="332"/>
        <w:tblW w:w="9209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270"/>
        <w:gridCol w:w="851"/>
        <w:gridCol w:w="850"/>
      </w:tblGrid>
      <w:tr w:rsidR="002A1ACA" w14:paraId="33CA9BA5" w14:textId="77777777" w:rsidTr="00B7102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270" w:type="dxa"/>
          </w:tcPr>
          <w:p w14:paraId="24EB9577" w14:textId="27F97EC6" w:rsidR="002A1ACA" w:rsidRDefault="002A1ACA" w:rsidP="00B7102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Asia</w:t>
            </w:r>
          </w:p>
        </w:tc>
        <w:tc>
          <w:tcPr>
            <w:tcW w:w="851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0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B7102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3B7AEF4D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144</w:t>
            </w:r>
          </w:p>
        </w:tc>
        <w:tc>
          <w:tcPr>
            <w:tcW w:w="779" w:type="dxa"/>
          </w:tcPr>
          <w:p w14:paraId="789F6F14" w14:textId="32AF25E4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134</w:t>
            </w:r>
          </w:p>
        </w:tc>
        <w:tc>
          <w:tcPr>
            <w:tcW w:w="1640" w:type="dxa"/>
          </w:tcPr>
          <w:p w14:paraId="17755252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0AE3D79A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61D2F12E" w14:textId="5388FE57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49</w:t>
            </w:r>
          </w:p>
        </w:tc>
        <w:tc>
          <w:tcPr>
            <w:tcW w:w="1270" w:type="dxa"/>
          </w:tcPr>
          <w:p w14:paraId="747B616D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1" w:type="dxa"/>
          </w:tcPr>
          <w:p w14:paraId="3C558C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0" w:type="dxa"/>
          </w:tcPr>
          <w:p w14:paraId="38EDBFCE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  <w:tr w:rsidR="002A1ACA" w14:paraId="1388E1F2" w14:textId="77777777" w:rsidTr="00B7102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3680333B" w:rsidR="002A1ACA" w:rsidRPr="00B7102A" w:rsidRDefault="00B7102A" w:rsidP="002A4CA8">
            <w:pPr>
              <w:jc w:val="center"/>
              <w:rPr>
                <w:rFonts w:cstheme="minorHAnsi"/>
                <w:sz w:val="24"/>
              </w:rPr>
            </w:pPr>
            <w:r w:rsidRPr="00B7102A">
              <w:rPr>
                <w:rFonts w:cstheme="minorHAnsi"/>
                <w:sz w:val="24"/>
              </w:rPr>
              <w:t>144</w:t>
            </w:r>
          </w:p>
        </w:tc>
        <w:tc>
          <w:tcPr>
            <w:tcW w:w="779" w:type="dxa"/>
          </w:tcPr>
          <w:p w14:paraId="466DD4DB" w14:textId="6982271A" w:rsidR="002A1ACA" w:rsidRPr="00A70672" w:rsidRDefault="003E4435" w:rsidP="002A1ACA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147</w:t>
            </w:r>
          </w:p>
        </w:tc>
        <w:tc>
          <w:tcPr>
            <w:tcW w:w="1640" w:type="dxa"/>
          </w:tcPr>
          <w:p w14:paraId="7E8BA65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4E78E8D7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0F89518E" w14:textId="30321672" w:rsidR="002A1ACA" w:rsidRPr="00A70672" w:rsidRDefault="008E29A9" w:rsidP="002A1ACA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23</w:t>
            </w:r>
          </w:p>
        </w:tc>
        <w:tc>
          <w:tcPr>
            <w:tcW w:w="1270" w:type="dxa"/>
          </w:tcPr>
          <w:p w14:paraId="220A7913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1" w:type="dxa"/>
          </w:tcPr>
          <w:p w14:paraId="06D38222" w14:textId="16088CBB" w:rsidR="002A1ACA" w:rsidRPr="002A4CA8" w:rsidRDefault="003E4435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640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B33F69D" w14:textId="0984C787" w:rsidR="002A1ACA" w:rsidRPr="002A4CA8" w:rsidRDefault="008E29A9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748</w:t>
            </w:r>
          </w:p>
        </w:tc>
      </w:tr>
    </w:tbl>
    <w:p w14:paraId="4BCC8C16" w14:textId="26887676" w:rsidR="002A1ACA" w:rsidRPr="00DC4AED" w:rsidRDefault="002A1ACA" w:rsidP="002D30EF">
      <w:pPr>
        <w:pStyle w:val="Lgende"/>
        <w:keepNext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4D7BAAC5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It could be launched by </w:t>
      </w:r>
      <w:r w:rsidR="004C1111">
        <w:rPr>
          <w:rFonts w:cstheme="minorHAnsi"/>
          <w:sz w:val="24"/>
        </w:rPr>
        <w:t xml:space="preserve">Brazil, </w:t>
      </w:r>
      <w:r>
        <w:rPr>
          <w:rFonts w:cstheme="minorHAnsi"/>
          <w:sz w:val="24"/>
        </w:rPr>
        <w:t>China, EU, and Global South countries</w:t>
      </w:r>
      <w:r w:rsidR="004C1111">
        <w:rPr>
          <w:rFonts w:cstheme="minorHAnsi"/>
          <w:sz w:val="24"/>
        </w:rPr>
        <w:t>.</w:t>
      </w:r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273DA774" w14:textId="1434950D" w:rsidR="00E24899" w:rsidRPr="00370F77" w:rsidRDefault="00E24899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As allowances roughly correspond to the union’s emissions needs, the carbon price would be low.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6C69F550" w:rsidR="00430C81" w:rsidRPr="00370F77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Each country would find an interest in joining the union</w:t>
      </w:r>
    </w:p>
    <w:p w14:paraId="448F3A56" w14:textId="0200EB89" w:rsidR="00DC4AED" w:rsidRDefault="00DC4AED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Emission allowances exceed </w:t>
      </w:r>
      <w:r w:rsidRPr="00DC4AED">
        <w:rPr>
          <w:rFonts w:cstheme="minorHAnsi"/>
          <w:sz w:val="24"/>
        </w:rPr>
        <w:t>Nationally Determined Contributions</w:t>
      </w:r>
      <w:r>
        <w:rPr>
          <w:rFonts w:cstheme="minorHAnsi"/>
          <w:sz w:val="24"/>
        </w:rPr>
        <w:t xml:space="preserve"> (NDCs) and long-term targets.</w:t>
      </w:r>
    </w:p>
    <w:p w14:paraId="56B359F9" w14:textId="55F574D0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low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China would find a market for its 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23E161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By forgoing allowances to high emitters like China, LICs would encourage them to join, raising the carbon price. This </w:t>
      </w:r>
      <w:r w:rsidR="00460496">
        <w:rPr>
          <w:rFonts w:cstheme="minorHAnsi"/>
          <w:sz w:val="24"/>
        </w:rPr>
        <w:t xml:space="preserve">apparent </w:t>
      </w:r>
      <w:r w:rsidRPr="008A4A8D">
        <w:rPr>
          <w:rFonts w:cstheme="minorHAnsi"/>
          <w:sz w:val="24"/>
        </w:rPr>
        <w:t>renouncement from LICs could even lead to additional transfers in their favor.</w:t>
      </w:r>
    </w:p>
    <w:p w14:paraId="6BF58649" w14:textId="4046E073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(India,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24442F7A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66DE184F" w14:textId="72CF8DC8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31AF705" w:rsidR="00DC4AED" w:rsidRDefault="00B77C10" w:rsidP="00DC4AED">
      <w:pPr>
        <w:keepNext/>
        <w:jc w:val="both"/>
      </w:pPr>
      <w:r w:rsidRPr="00B77C10">
        <w:rPr>
          <w:noProof/>
        </w:rPr>
        <w:drawing>
          <wp:inline distT="0" distB="0" distL="0" distR="0" wp14:anchorId="12B608BB" wp14:editId="063D6167">
            <wp:extent cx="6120765" cy="3442801"/>
            <wp:effectExtent l="0" t="0" r="0" b="5715"/>
            <wp:docPr id="11" name="Image 11" descr="C:\Users\fabre\Documents\www\global_tax_attitudes\figures\policies\fossil_free_union_emission_traje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abre\Documents\www\global_tax_attitudes\figures\policies\fossil_free_union_emission_trajector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0F6AF3" w:rsidRDefault="00370F77" w:rsidP="00370F77">
      <w:pPr>
        <w:spacing w:after="0"/>
        <w:ind w:hanging="426"/>
        <w:jc w:val="both"/>
        <w:rPr>
          <w:rFonts w:cstheme="minorHAnsi"/>
          <w:b/>
          <w:sz w:val="24"/>
          <w:lang w:val="fr-FR"/>
        </w:rPr>
      </w:pPr>
      <w:r w:rsidRPr="000F6AF3">
        <w:rPr>
          <w:rFonts w:cstheme="minorHAnsi"/>
          <w:b/>
          <w:sz w:val="24"/>
          <w:lang w:val="fr-FR"/>
        </w:rPr>
        <w:t>Bibliography</w:t>
      </w:r>
    </w:p>
    <w:p w14:paraId="33CCF9A9" w14:textId="1A9716EB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 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1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CDD50" w14:textId="77777777" w:rsidR="003546D2" w:rsidRDefault="003546D2" w:rsidP="009E5645">
      <w:pPr>
        <w:spacing w:after="0" w:line="240" w:lineRule="auto"/>
      </w:pPr>
      <w:r>
        <w:separator/>
      </w:r>
    </w:p>
  </w:endnote>
  <w:endnote w:type="continuationSeparator" w:id="0">
    <w:p w14:paraId="55B5047E" w14:textId="77777777" w:rsidR="003546D2" w:rsidRDefault="003546D2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EE0AC" w14:textId="77777777" w:rsidR="003546D2" w:rsidRDefault="003546D2" w:rsidP="009E5645">
      <w:pPr>
        <w:spacing w:after="0" w:line="240" w:lineRule="auto"/>
      </w:pPr>
      <w:r>
        <w:separator/>
      </w:r>
    </w:p>
  </w:footnote>
  <w:footnote w:type="continuationSeparator" w:id="0">
    <w:p w14:paraId="420F26DE" w14:textId="77777777" w:rsidR="003546D2" w:rsidRDefault="003546D2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16558"/>
    <w:rsid w:val="0013060F"/>
    <w:rsid w:val="00136EFE"/>
    <w:rsid w:val="00165377"/>
    <w:rsid w:val="001A7653"/>
    <w:rsid w:val="001A7D96"/>
    <w:rsid w:val="001B2F3D"/>
    <w:rsid w:val="001F0BF7"/>
    <w:rsid w:val="00203789"/>
    <w:rsid w:val="002375DA"/>
    <w:rsid w:val="00264D2B"/>
    <w:rsid w:val="002A1ACA"/>
    <w:rsid w:val="002A4CA8"/>
    <w:rsid w:val="002D30EF"/>
    <w:rsid w:val="00321E93"/>
    <w:rsid w:val="00334F2E"/>
    <w:rsid w:val="00351722"/>
    <w:rsid w:val="003546D2"/>
    <w:rsid w:val="00361A61"/>
    <w:rsid w:val="00370F77"/>
    <w:rsid w:val="003D5798"/>
    <w:rsid w:val="003E4435"/>
    <w:rsid w:val="00414F02"/>
    <w:rsid w:val="00430C81"/>
    <w:rsid w:val="004375E4"/>
    <w:rsid w:val="00453699"/>
    <w:rsid w:val="00460496"/>
    <w:rsid w:val="004800BF"/>
    <w:rsid w:val="00484316"/>
    <w:rsid w:val="004C1111"/>
    <w:rsid w:val="00502F21"/>
    <w:rsid w:val="0050446D"/>
    <w:rsid w:val="0053453D"/>
    <w:rsid w:val="00604705"/>
    <w:rsid w:val="006630F8"/>
    <w:rsid w:val="006928F2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8E29A9"/>
    <w:rsid w:val="00987091"/>
    <w:rsid w:val="009E5645"/>
    <w:rsid w:val="009E68EC"/>
    <w:rsid w:val="00A5271A"/>
    <w:rsid w:val="00A70672"/>
    <w:rsid w:val="00A77601"/>
    <w:rsid w:val="00A9071A"/>
    <w:rsid w:val="00AA2B10"/>
    <w:rsid w:val="00AB0E9B"/>
    <w:rsid w:val="00B6490E"/>
    <w:rsid w:val="00B7102A"/>
    <w:rsid w:val="00B76AD3"/>
    <w:rsid w:val="00B77C10"/>
    <w:rsid w:val="00C120D6"/>
    <w:rsid w:val="00C92048"/>
    <w:rsid w:val="00CD02AE"/>
    <w:rsid w:val="00D03020"/>
    <w:rsid w:val="00D0414F"/>
    <w:rsid w:val="00D31870"/>
    <w:rsid w:val="00D824A3"/>
    <w:rsid w:val="00D92896"/>
    <w:rsid w:val="00D94648"/>
    <w:rsid w:val="00D975DB"/>
    <w:rsid w:val="00DB17B3"/>
    <w:rsid w:val="00DB778F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71436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4485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3A5F-CC55-47FD-8430-F9CC3F84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23</cp:revision>
  <cp:lastPrinted>2024-04-25T06:25:00Z</cp:lastPrinted>
  <dcterms:created xsi:type="dcterms:W3CDTF">2024-04-24T14:06:00Z</dcterms:created>
  <dcterms:modified xsi:type="dcterms:W3CDTF">2025-05-08T19:29:00Z</dcterms:modified>
</cp:coreProperties>
</file>