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04AE" w:rsidRPr="005E2059" w:rsidRDefault="000C7025">
      <w:pPr>
        <w:jc w:val="center"/>
        <w:rPr>
          <w:b/>
          <w:sz w:val="32"/>
          <w:szCs w:val="32"/>
          <w:lang w:val="en-US"/>
        </w:rPr>
      </w:pPr>
      <w:r w:rsidRPr="005E2059">
        <w:rPr>
          <w:b/>
          <w:sz w:val="32"/>
          <w:szCs w:val="32"/>
          <w:lang w:val="en-US"/>
        </w:rPr>
        <w:t>For an international Sustainable Union</w:t>
      </w:r>
    </w:p>
    <w:p w:rsidR="00F304AE" w:rsidRPr="005E2059" w:rsidRDefault="00F304AE">
      <w:pPr>
        <w:rPr>
          <w:lang w:val="en-US"/>
        </w:rPr>
      </w:pPr>
    </w:p>
    <w:p w:rsidR="00F304AE" w:rsidRPr="00B944B2" w:rsidRDefault="00B944B2" w:rsidP="005E2059">
      <w:pPr>
        <w:spacing w:after="0" w:line="240" w:lineRule="auto"/>
        <w:jc w:val="both"/>
        <w:rPr>
          <w:lang w:val="en-US"/>
        </w:rPr>
      </w:pPr>
      <w:bookmarkStart w:id="0" w:name="_heading=h.gjdgxs" w:colFirst="0" w:colLast="0"/>
      <w:bookmarkEnd w:id="0"/>
      <w:r w:rsidRPr="00B944B2">
        <w:rPr>
          <w:lang w:val="en-US"/>
        </w:rPr>
        <w:t xml:space="preserve">After years of slow progress, international negotiations on climate and taxation issues could soon deliver a series of agreements that secure decarbonization, clamp down on tax evasion, and foster international cohesion. Such achievements may be possible by an emerging consensus on the solutions needed for climate neutrality and sustainable development. We propose </w:t>
      </w:r>
      <w:r w:rsidR="00AD7801">
        <w:rPr>
          <w:lang w:val="en-US"/>
        </w:rPr>
        <w:t>a treaty</w:t>
      </w:r>
      <w:r w:rsidR="006D273C">
        <w:rPr>
          <w:lang w:val="en-US"/>
        </w:rPr>
        <w:t xml:space="preserve"> (drafted in Appendix)</w:t>
      </w:r>
      <w:r w:rsidR="00AD7801">
        <w:rPr>
          <w:lang w:val="en-US"/>
        </w:rPr>
        <w:t xml:space="preserve"> coordinating </w:t>
      </w:r>
      <w:r w:rsidRPr="00B944B2">
        <w:rPr>
          <w:lang w:val="en-US"/>
        </w:rPr>
        <w:t>new taxes on wealth, polluting fuels, financial transactions, and corpora</w:t>
      </w:r>
      <w:r w:rsidR="00BC5FCD">
        <w:rPr>
          <w:lang w:val="en-US"/>
        </w:rPr>
        <w:t>te income, raising more than $3</w:t>
      </w:r>
      <w:r w:rsidR="00BC5FCD" w:rsidRPr="00BC5FCD">
        <w:rPr>
          <w:lang w:val="en-US"/>
        </w:rPr>
        <w:t> </w:t>
      </w:r>
      <w:r w:rsidRPr="00B944B2">
        <w:rPr>
          <w:lang w:val="en-US"/>
        </w:rPr>
        <w:t>trillion per year. Part of the revenues from these taxes would fi</w:t>
      </w:r>
      <w:r w:rsidR="004838FA">
        <w:rPr>
          <w:lang w:val="en-US"/>
        </w:rPr>
        <w:t>nance international transfers</w:t>
      </w:r>
      <w:r w:rsidR="00954D75">
        <w:rPr>
          <w:lang w:val="en-US"/>
        </w:rPr>
        <w:t>, with a conditional cooperation mechanism that increases transfers when more countries participate</w:t>
      </w:r>
      <w:r w:rsidR="004838FA">
        <w:rPr>
          <w:lang w:val="en-US"/>
        </w:rPr>
        <w:t xml:space="preserve">. Under universal participation, </w:t>
      </w:r>
      <w:r w:rsidR="00D459A3">
        <w:rPr>
          <w:lang w:val="en-US"/>
        </w:rPr>
        <w:t>o</w:t>
      </w:r>
      <w:r w:rsidRPr="00B944B2">
        <w:rPr>
          <w:lang w:val="en-US"/>
        </w:rPr>
        <w:t>ne percent of each country’s GNI would be reallocated to each country in proportion to their population, addressing climate finance needs and fostering sustainable development.</w:t>
      </w:r>
      <w:r w:rsidR="005E2059">
        <w:rPr>
          <w:lang w:val="en-US"/>
        </w:rPr>
        <w:t xml:space="preserve"> </w:t>
      </w:r>
    </w:p>
    <w:p w:rsidR="00F304AE" w:rsidRPr="00B944B2" w:rsidRDefault="00F304AE">
      <w:pPr>
        <w:spacing w:after="0" w:line="240" w:lineRule="auto"/>
        <w:jc w:val="both"/>
        <w:rPr>
          <w:lang w:val="en-US"/>
        </w:rPr>
      </w:pPr>
    </w:p>
    <w:p w:rsidR="00F304AE" w:rsidRPr="00B944B2" w:rsidRDefault="000C7025">
      <w:pPr>
        <w:spacing w:after="0" w:line="240" w:lineRule="auto"/>
        <w:jc w:val="both"/>
        <w:rPr>
          <w:b/>
          <w:lang w:val="en-US"/>
        </w:rPr>
      </w:pPr>
      <w:r w:rsidRPr="00B944B2">
        <w:rPr>
          <w:b/>
          <w:lang w:val="en-US"/>
        </w:rPr>
        <w:t>An International Union for Climate and Redistribution</w:t>
      </w:r>
    </w:p>
    <w:p w:rsidR="00B944B2" w:rsidRDefault="00B944B2">
      <w:pPr>
        <w:spacing w:after="0" w:line="240" w:lineRule="auto"/>
        <w:jc w:val="both"/>
        <w:rPr>
          <w:lang w:val="en-US"/>
        </w:rPr>
      </w:pPr>
      <w:r w:rsidRPr="00B944B2">
        <w:rPr>
          <w:lang w:val="en-US"/>
        </w:rPr>
        <w:t xml:space="preserve">While decisions at the UNFCCC require unanimity, a subset of countries can work productively to propose </w:t>
      </w:r>
      <w:r>
        <w:rPr>
          <w:lang w:val="en-US"/>
        </w:rPr>
        <w:t>ambitious</w:t>
      </w:r>
      <w:r w:rsidRPr="00B944B2">
        <w:rPr>
          <w:lang w:val="en-US"/>
        </w:rPr>
        <w:t xml:space="preserve"> agreements, </w:t>
      </w:r>
      <w:r>
        <w:rPr>
          <w:lang w:val="en-US"/>
        </w:rPr>
        <w:t xml:space="preserve">with no need for universal participation, </w:t>
      </w:r>
      <w:r w:rsidRPr="00B944B2">
        <w:rPr>
          <w:lang w:val="en-US"/>
        </w:rPr>
        <w:t>provided that they are fair and open to all countries.</w:t>
      </w:r>
    </w:p>
    <w:p w:rsidR="00B944B2" w:rsidRDefault="00B944B2">
      <w:pPr>
        <w:spacing w:after="0" w:line="240" w:lineRule="auto"/>
        <w:jc w:val="both"/>
        <w:rPr>
          <w:lang w:val="en-US"/>
        </w:rPr>
      </w:pPr>
    </w:p>
    <w:p w:rsidR="00F304AE" w:rsidRPr="00B944B2" w:rsidRDefault="000C7025">
      <w:pPr>
        <w:spacing w:after="0" w:line="240" w:lineRule="auto"/>
        <w:jc w:val="both"/>
        <w:rPr>
          <w:lang w:val="en-US"/>
        </w:rPr>
      </w:pPr>
      <w:r w:rsidRPr="00B944B2">
        <w:rPr>
          <w:lang w:val="en-US"/>
        </w:rPr>
        <w:t xml:space="preserve">A group of countries forming a </w:t>
      </w:r>
      <w:r w:rsidR="00B944B2">
        <w:rPr>
          <w:i/>
          <w:lang w:val="en-US"/>
        </w:rPr>
        <w:t>S</w:t>
      </w:r>
      <w:r w:rsidRPr="00B944B2">
        <w:rPr>
          <w:i/>
          <w:lang w:val="en-US"/>
        </w:rPr>
        <w:t xml:space="preserve">ustainable Union </w:t>
      </w:r>
      <w:r w:rsidRPr="00B944B2">
        <w:rPr>
          <w:lang w:val="en-US"/>
        </w:rPr>
        <w:t>would ha</w:t>
      </w:r>
      <w:r w:rsidRPr="00B944B2">
        <w:rPr>
          <w:lang w:val="en-US"/>
        </w:rPr>
        <w:t xml:space="preserve">ve to agree on a number of elements, including a target for revenues from new levies on the richest and on pollution, say 2% of their GDP; a common contribution to sustainable development, </w:t>
      </w:r>
      <w:r w:rsidR="00F01B9A">
        <w:rPr>
          <w:lang w:val="en-US"/>
        </w:rPr>
        <w:t xml:space="preserve">say </w:t>
      </w:r>
      <w:r w:rsidRPr="00B944B2">
        <w:rPr>
          <w:lang w:val="en-US"/>
        </w:rPr>
        <w:t xml:space="preserve">1% of GDP; and a global carbon budget, </w:t>
      </w:r>
      <w:r w:rsidR="00F01B9A">
        <w:rPr>
          <w:lang w:val="en-US"/>
        </w:rPr>
        <w:t xml:space="preserve">say </w:t>
      </w:r>
      <w:r w:rsidRPr="00B944B2">
        <w:rPr>
          <w:lang w:val="en-US"/>
        </w:rPr>
        <w:t>1,000 GtCO</w:t>
      </w:r>
      <w:r w:rsidRPr="00B944B2">
        <w:rPr>
          <w:vertAlign w:val="subscript"/>
          <w:lang w:val="en-US"/>
        </w:rPr>
        <w:t>2</w:t>
      </w:r>
      <w:r w:rsidRPr="00B944B2">
        <w:rPr>
          <w:lang w:val="en-US"/>
        </w:rPr>
        <w:t>. Countries with per capita incomes above the global average would contribute financially to lower-income countries, drawing on part of the new revenues. With my co-authors (who include a former chief economist at the African D</w:t>
      </w:r>
      <w:r w:rsidRPr="00B944B2">
        <w:rPr>
          <w:lang w:val="en-US"/>
        </w:rPr>
        <w:t>evelopment Bank, former climate negotiators for India and China, and a professor of economics at Oxford</w:t>
      </w:r>
      <w:r>
        <w:rPr>
          <w:vertAlign w:val="superscript"/>
        </w:rPr>
        <w:footnoteReference w:id="1"/>
      </w:r>
      <w:r w:rsidRPr="00B944B2">
        <w:rPr>
          <w:lang w:val="en-US"/>
        </w:rPr>
        <w:t>), we estimate the potential revenues from new taxes at global level. These would amount to over 3% of global GDP (as shown in Table 1), the majority o</w:t>
      </w:r>
      <w:r w:rsidRPr="00B944B2">
        <w:rPr>
          <w:lang w:val="en-US"/>
        </w:rPr>
        <w:t>f which would come from a wealth tax. We propose to tax wealth at a rate of 2% above $5 million, and 5% above $100 million</w:t>
      </w:r>
      <w:r w:rsidRPr="00B944B2">
        <w:rPr>
          <w:lang w:val="en-US"/>
        </w:rPr>
        <w:t>.</w:t>
      </w:r>
      <w:r w:rsidRPr="00B944B2">
        <w:rPr>
          <w:lang w:val="en-US"/>
        </w:rPr>
        <w:t xml:space="preserve"> </w:t>
      </w:r>
      <w:r w:rsidR="00EA1418">
        <w:rPr>
          <w:lang w:val="en-US"/>
        </w:rPr>
        <w:t>Even replacing our wealth tax proposal by the more moderate proposal by Gabriel Zucman of a 2% tax above $100 million, revenues from</w:t>
      </w:r>
      <w:r w:rsidR="00C00361">
        <w:rPr>
          <w:lang w:val="en-US"/>
        </w:rPr>
        <w:t xml:space="preserve"> the</w:t>
      </w:r>
      <w:r w:rsidR="00EA1418">
        <w:rPr>
          <w:lang w:val="en-US"/>
        </w:rPr>
        <w:t xml:space="preserve"> new taxes would amount to 2% of global GDP</w:t>
      </w:r>
      <w:r w:rsidRPr="00B944B2">
        <w:rPr>
          <w:lang w:val="en-US"/>
        </w:rPr>
        <w:t>.</w:t>
      </w:r>
      <w:r w:rsidR="000B6644">
        <w:rPr>
          <w:vertAlign w:val="superscript"/>
        </w:rPr>
        <w:footnoteReference w:id="2"/>
      </w:r>
      <w:r w:rsidRPr="00B944B2">
        <w:rPr>
          <w:lang w:val="en-US"/>
        </w:rPr>
        <w:t xml:space="preserve"> </w:t>
      </w:r>
      <w:r w:rsidRPr="00B944B2">
        <w:rPr>
          <w:lang w:val="en-US"/>
        </w:rPr>
        <w:t>The bulk of these taxes would ultimately be paid by the richest 1% of human beings.</w:t>
      </w:r>
      <w:r w:rsidR="00A745EE">
        <w:rPr>
          <w:lang w:val="en-US"/>
        </w:rPr>
        <w:t xml:space="preserve"> With universal participation, t</w:t>
      </w:r>
      <w:r w:rsidR="00A745EE" w:rsidRPr="00A745EE">
        <w:rPr>
          <w:lang w:val="en-US"/>
        </w:rPr>
        <w:t>hese mechanisms would entail $766 billion</w:t>
      </w:r>
      <w:r w:rsidR="00A745EE">
        <w:rPr>
          <w:lang w:val="en-US"/>
        </w:rPr>
        <w:t xml:space="preserve"> per year</w:t>
      </w:r>
      <w:r w:rsidR="00A745EE" w:rsidRPr="00A745EE">
        <w:rPr>
          <w:lang w:val="en-US"/>
        </w:rPr>
        <w:t xml:space="preserve"> in North-</w:t>
      </w:r>
      <w:r w:rsidR="00A745EE">
        <w:rPr>
          <w:lang w:val="en-US"/>
        </w:rPr>
        <w:t>to-</w:t>
      </w:r>
      <w:r w:rsidR="00A745EE" w:rsidRPr="00A745EE">
        <w:rPr>
          <w:lang w:val="en-US"/>
        </w:rPr>
        <w:t>South transfers</w:t>
      </w:r>
      <w:r w:rsidR="00A745EE">
        <w:rPr>
          <w:lang w:val="en-US"/>
        </w:rPr>
        <w:t>.</w:t>
      </w:r>
    </w:p>
    <w:p w:rsidR="00F304AE" w:rsidRPr="00B944B2" w:rsidRDefault="00F304AE">
      <w:pPr>
        <w:spacing w:after="0" w:line="240" w:lineRule="auto"/>
        <w:jc w:val="both"/>
        <w:rPr>
          <w:lang w:val="en-US"/>
        </w:rPr>
      </w:pPr>
    </w:p>
    <w:p w:rsidR="00F304AE" w:rsidRPr="00B944B2" w:rsidRDefault="000C7025">
      <w:pPr>
        <w:keepNext/>
        <w:pBdr>
          <w:top w:val="nil"/>
          <w:left w:val="nil"/>
          <w:bottom w:val="nil"/>
          <w:right w:val="nil"/>
          <w:between w:val="nil"/>
        </w:pBdr>
        <w:spacing w:after="200" w:line="240" w:lineRule="auto"/>
        <w:jc w:val="center"/>
        <w:rPr>
          <w:color w:val="000000"/>
          <w:lang w:val="en-US"/>
        </w:rPr>
      </w:pPr>
      <w:r w:rsidRPr="00B944B2">
        <w:rPr>
          <w:color w:val="000000"/>
          <w:lang w:val="en-US"/>
        </w:rPr>
        <w:t>Table 1. Estimated revenues from new global taxes (in billions of dollars per year).</w:t>
      </w:r>
    </w:p>
    <w:tbl>
      <w:tblPr>
        <w:tblStyle w:val="a0"/>
        <w:tblW w:w="948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48"/>
        <w:gridCol w:w="1319"/>
        <w:gridCol w:w="1262"/>
        <w:gridCol w:w="1038"/>
        <w:gridCol w:w="1167"/>
        <w:gridCol w:w="1299"/>
        <w:gridCol w:w="1293"/>
        <w:gridCol w:w="761"/>
      </w:tblGrid>
      <w:tr w:rsidR="00F304AE">
        <w:tc>
          <w:tcPr>
            <w:tcW w:w="1348" w:type="dxa"/>
            <w:vAlign w:val="center"/>
          </w:tcPr>
          <w:p w:rsidR="00F304AE" w:rsidRDefault="000C7025">
            <w:pPr>
              <w:jc w:val="center"/>
              <w:rPr>
                <w:rFonts w:ascii="Calibri" w:eastAsia="Calibri" w:hAnsi="Calibri" w:cs="Calibri"/>
              </w:rPr>
            </w:pPr>
            <w:r>
              <w:rPr>
                <w:rFonts w:ascii="Calibri" w:eastAsia="Calibri" w:hAnsi="Calibri" w:cs="Calibri"/>
              </w:rPr>
              <w:t>Financial Transaction Tax</w:t>
            </w:r>
          </w:p>
        </w:tc>
        <w:tc>
          <w:tcPr>
            <w:tcW w:w="1319" w:type="dxa"/>
            <w:vAlign w:val="center"/>
          </w:tcPr>
          <w:p w:rsidR="00F304AE" w:rsidRDefault="000C7025">
            <w:pPr>
              <w:jc w:val="center"/>
              <w:rPr>
                <w:rFonts w:ascii="Calibri" w:eastAsia="Calibri" w:hAnsi="Calibri" w:cs="Calibri"/>
              </w:rPr>
            </w:pPr>
            <w:r>
              <w:rPr>
                <w:rFonts w:ascii="Calibri" w:eastAsia="Calibri" w:hAnsi="Calibri" w:cs="Calibri"/>
              </w:rPr>
              <w:t xml:space="preserve">Carbon price </w:t>
            </w:r>
            <w:r>
              <w:rPr>
                <w:rFonts w:ascii="Calibri" w:eastAsia="Calibri" w:hAnsi="Calibri" w:cs="Calibri"/>
              </w:rPr>
              <w:br/>
              <w:t>($10/tCO</w:t>
            </w:r>
            <w:r>
              <w:rPr>
                <w:rFonts w:ascii="Calibri" w:eastAsia="Calibri" w:hAnsi="Calibri" w:cs="Calibri"/>
                <w:vertAlign w:val="subscript"/>
              </w:rPr>
              <w:t>2</w:t>
            </w:r>
            <w:r>
              <w:rPr>
                <w:rFonts w:ascii="Calibri" w:eastAsia="Calibri" w:hAnsi="Calibri" w:cs="Calibri"/>
              </w:rPr>
              <w:t>)</w:t>
            </w:r>
          </w:p>
        </w:tc>
        <w:tc>
          <w:tcPr>
            <w:tcW w:w="1262" w:type="dxa"/>
            <w:vAlign w:val="center"/>
          </w:tcPr>
          <w:p w:rsidR="00F304AE" w:rsidRDefault="000C7025">
            <w:pPr>
              <w:jc w:val="center"/>
              <w:rPr>
                <w:rFonts w:ascii="Calibri" w:eastAsia="Calibri" w:hAnsi="Calibri" w:cs="Calibri"/>
              </w:rPr>
            </w:pPr>
            <w:r>
              <w:rPr>
                <w:rFonts w:ascii="Calibri" w:eastAsia="Calibri" w:hAnsi="Calibri" w:cs="Calibri"/>
              </w:rPr>
              <w:t xml:space="preserve">Maritime tax </w:t>
            </w:r>
            <w:r>
              <w:rPr>
                <w:rFonts w:ascii="Calibri" w:eastAsia="Calibri" w:hAnsi="Calibri" w:cs="Calibri"/>
              </w:rPr>
              <w:br/>
              <w:t>($100/tCO</w:t>
            </w:r>
            <w:r>
              <w:rPr>
                <w:rFonts w:ascii="Calibri" w:eastAsia="Calibri" w:hAnsi="Calibri" w:cs="Calibri"/>
                <w:vertAlign w:val="subscript"/>
              </w:rPr>
              <w:t>2</w:t>
            </w:r>
            <w:r>
              <w:rPr>
                <w:rFonts w:ascii="Calibri" w:eastAsia="Calibri" w:hAnsi="Calibri" w:cs="Calibri"/>
              </w:rPr>
              <w:t>)</w:t>
            </w:r>
          </w:p>
        </w:tc>
        <w:tc>
          <w:tcPr>
            <w:tcW w:w="1038" w:type="dxa"/>
            <w:vAlign w:val="center"/>
          </w:tcPr>
          <w:p w:rsidR="00F304AE" w:rsidRDefault="000C7025">
            <w:pPr>
              <w:jc w:val="center"/>
              <w:rPr>
                <w:rFonts w:ascii="Calibri" w:eastAsia="Calibri" w:hAnsi="Calibri" w:cs="Calibri"/>
              </w:rPr>
            </w:pPr>
            <w:r>
              <w:rPr>
                <w:rFonts w:ascii="Calibri" w:eastAsia="Calibri" w:hAnsi="Calibri" w:cs="Calibri"/>
              </w:rPr>
              <w:t xml:space="preserve">Aviation tax </w:t>
            </w:r>
            <w:r>
              <w:rPr>
                <w:rFonts w:ascii="Calibri" w:eastAsia="Calibri" w:hAnsi="Calibri" w:cs="Calibri"/>
              </w:rPr>
              <w:br/>
              <w:t>($300/tCO</w:t>
            </w:r>
            <w:r>
              <w:rPr>
                <w:rFonts w:ascii="Calibri" w:eastAsia="Calibri" w:hAnsi="Calibri" w:cs="Calibri"/>
                <w:vertAlign w:val="subscript"/>
              </w:rPr>
              <w:t>2</w:t>
            </w:r>
            <w:r>
              <w:rPr>
                <w:rFonts w:ascii="Calibri" w:eastAsia="Calibri" w:hAnsi="Calibri" w:cs="Calibri"/>
              </w:rPr>
              <w:t>)</w:t>
            </w:r>
          </w:p>
        </w:tc>
        <w:tc>
          <w:tcPr>
            <w:tcW w:w="1167" w:type="dxa"/>
            <w:vAlign w:val="center"/>
          </w:tcPr>
          <w:p w:rsidR="00F304AE" w:rsidRDefault="000C7025">
            <w:pPr>
              <w:jc w:val="center"/>
              <w:rPr>
                <w:rFonts w:ascii="Calibri" w:eastAsia="Calibri" w:hAnsi="Calibri" w:cs="Calibri"/>
              </w:rPr>
            </w:pPr>
            <w:r>
              <w:rPr>
                <w:rFonts w:ascii="Calibri" w:eastAsia="Calibri" w:hAnsi="Calibri" w:cs="Calibri"/>
              </w:rPr>
              <w:t>Tax on profits (at 21%)</w:t>
            </w:r>
          </w:p>
        </w:tc>
        <w:tc>
          <w:tcPr>
            <w:tcW w:w="1299" w:type="dxa"/>
            <w:vAlign w:val="center"/>
          </w:tcPr>
          <w:p w:rsidR="00F304AE" w:rsidRPr="00B944B2" w:rsidRDefault="000C7025">
            <w:pPr>
              <w:jc w:val="center"/>
              <w:rPr>
                <w:rFonts w:ascii="Calibri" w:eastAsia="Calibri" w:hAnsi="Calibri" w:cs="Calibri"/>
                <w:lang w:val="en-US"/>
              </w:rPr>
            </w:pPr>
            <w:r w:rsidRPr="00B944B2">
              <w:rPr>
                <w:rFonts w:ascii="Calibri" w:eastAsia="Calibri" w:hAnsi="Calibri" w:cs="Calibri"/>
                <w:lang w:val="en-US"/>
              </w:rPr>
              <w:t xml:space="preserve">Tax on the ultra-rich </w:t>
            </w:r>
            <w:r w:rsidRPr="00B944B2">
              <w:rPr>
                <w:rFonts w:ascii="Calibri" w:eastAsia="Calibri" w:hAnsi="Calibri" w:cs="Calibri"/>
                <w:lang w:val="en-US"/>
              </w:rPr>
              <w:br/>
              <w:t>(3% above 100M)</w:t>
            </w:r>
          </w:p>
        </w:tc>
        <w:tc>
          <w:tcPr>
            <w:tcW w:w="1293" w:type="dxa"/>
            <w:vAlign w:val="center"/>
          </w:tcPr>
          <w:p w:rsidR="00F304AE" w:rsidRDefault="000C7025">
            <w:pPr>
              <w:jc w:val="center"/>
              <w:rPr>
                <w:rFonts w:ascii="Calibri" w:eastAsia="Calibri" w:hAnsi="Calibri" w:cs="Calibri"/>
              </w:rPr>
            </w:pPr>
            <w:r>
              <w:rPr>
                <w:rFonts w:ascii="Calibri" w:eastAsia="Calibri" w:hAnsi="Calibri" w:cs="Calibri"/>
              </w:rPr>
              <w:t>Wealt</w:t>
            </w:r>
            <w:r>
              <w:rPr>
                <w:rFonts w:ascii="Calibri" w:eastAsia="Calibri" w:hAnsi="Calibri" w:cs="Calibri"/>
              </w:rPr>
              <w:t xml:space="preserve">h tax </w:t>
            </w:r>
            <w:r>
              <w:rPr>
                <w:rFonts w:ascii="Calibri" w:eastAsia="Calibri" w:hAnsi="Calibri" w:cs="Calibri"/>
              </w:rPr>
              <w:br/>
              <w:t>(2% above 5M)</w:t>
            </w:r>
          </w:p>
        </w:tc>
        <w:tc>
          <w:tcPr>
            <w:tcW w:w="761" w:type="dxa"/>
            <w:vAlign w:val="center"/>
          </w:tcPr>
          <w:p w:rsidR="00F304AE" w:rsidRDefault="000C7025">
            <w:pPr>
              <w:jc w:val="center"/>
              <w:rPr>
                <w:rFonts w:ascii="Calibri" w:eastAsia="Calibri" w:hAnsi="Calibri" w:cs="Calibri"/>
              </w:rPr>
            </w:pPr>
            <w:r>
              <w:rPr>
                <w:rFonts w:ascii="Calibri" w:eastAsia="Calibri" w:hAnsi="Calibri" w:cs="Calibri"/>
                <w:b/>
              </w:rPr>
              <w:t>Total</w:t>
            </w:r>
          </w:p>
        </w:tc>
      </w:tr>
      <w:tr w:rsidR="00F304AE">
        <w:trPr>
          <w:trHeight w:val="439"/>
        </w:trPr>
        <w:tc>
          <w:tcPr>
            <w:tcW w:w="1348" w:type="dxa"/>
            <w:vAlign w:val="center"/>
          </w:tcPr>
          <w:p w:rsidR="00F304AE" w:rsidRDefault="000C7025">
            <w:pPr>
              <w:jc w:val="center"/>
              <w:rPr>
                <w:rFonts w:ascii="Calibri" w:eastAsia="Calibri" w:hAnsi="Calibri" w:cs="Calibri"/>
              </w:rPr>
            </w:pPr>
            <w:r>
              <w:rPr>
                <w:rFonts w:ascii="Calibri" w:eastAsia="Calibri" w:hAnsi="Calibri" w:cs="Calibri"/>
              </w:rPr>
              <w:t>327</w:t>
            </w:r>
          </w:p>
        </w:tc>
        <w:tc>
          <w:tcPr>
            <w:tcW w:w="1319" w:type="dxa"/>
            <w:vAlign w:val="center"/>
          </w:tcPr>
          <w:p w:rsidR="00F304AE" w:rsidRDefault="000C7025">
            <w:pPr>
              <w:jc w:val="center"/>
              <w:rPr>
                <w:rFonts w:ascii="Calibri" w:eastAsia="Calibri" w:hAnsi="Calibri" w:cs="Calibri"/>
              </w:rPr>
            </w:pPr>
            <w:r>
              <w:rPr>
                <w:rFonts w:ascii="Calibri" w:eastAsia="Calibri" w:hAnsi="Calibri" w:cs="Calibri"/>
              </w:rPr>
              <w:t>356</w:t>
            </w:r>
          </w:p>
        </w:tc>
        <w:tc>
          <w:tcPr>
            <w:tcW w:w="1262" w:type="dxa"/>
            <w:vAlign w:val="center"/>
          </w:tcPr>
          <w:p w:rsidR="00F304AE" w:rsidRDefault="000C7025">
            <w:pPr>
              <w:jc w:val="center"/>
              <w:rPr>
                <w:rFonts w:ascii="Calibri" w:eastAsia="Calibri" w:hAnsi="Calibri" w:cs="Calibri"/>
              </w:rPr>
            </w:pPr>
            <w:r>
              <w:rPr>
                <w:rFonts w:ascii="Calibri" w:eastAsia="Calibri" w:hAnsi="Calibri" w:cs="Calibri"/>
              </w:rPr>
              <w:t>104</w:t>
            </w:r>
          </w:p>
        </w:tc>
        <w:tc>
          <w:tcPr>
            <w:tcW w:w="1038" w:type="dxa"/>
            <w:vAlign w:val="center"/>
          </w:tcPr>
          <w:p w:rsidR="00F304AE" w:rsidRDefault="000C7025">
            <w:pPr>
              <w:jc w:val="center"/>
              <w:rPr>
                <w:rFonts w:ascii="Calibri" w:eastAsia="Calibri" w:hAnsi="Calibri" w:cs="Calibri"/>
              </w:rPr>
            </w:pPr>
            <w:r>
              <w:rPr>
                <w:rFonts w:ascii="Calibri" w:eastAsia="Calibri" w:hAnsi="Calibri" w:cs="Calibri"/>
              </w:rPr>
              <w:t>223</w:t>
            </w:r>
          </w:p>
        </w:tc>
        <w:tc>
          <w:tcPr>
            <w:tcW w:w="1167" w:type="dxa"/>
            <w:vAlign w:val="center"/>
          </w:tcPr>
          <w:p w:rsidR="00F304AE" w:rsidRDefault="000C7025">
            <w:pPr>
              <w:jc w:val="center"/>
              <w:rPr>
                <w:rFonts w:ascii="Calibri" w:eastAsia="Calibri" w:hAnsi="Calibri" w:cs="Calibri"/>
              </w:rPr>
            </w:pPr>
            <w:r>
              <w:rPr>
                <w:rFonts w:ascii="Calibri" w:eastAsia="Calibri" w:hAnsi="Calibri" w:cs="Calibri"/>
              </w:rPr>
              <w:t>299</w:t>
            </w:r>
          </w:p>
        </w:tc>
        <w:tc>
          <w:tcPr>
            <w:tcW w:w="1299" w:type="dxa"/>
            <w:vAlign w:val="center"/>
          </w:tcPr>
          <w:p w:rsidR="00F304AE" w:rsidRDefault="000C7025">
            <w:pPr>
              <w:jc w:val="center"/>
              <w:rPr>
                <w:rFonts w:ascii="Calibri" w:eastAsia="Calibri" w:hAnsi="Calibri" w:cs="Calibri"/>
              </w:rPr>
            </w:pPr>
            <w:r>
              <w:rPr>
                <w:rFonts w:ascii="Calibri" w:eastAsia="Calibri" w:hAnsi="Calibri" w:cs="Calibri"/>
              </w:rPr>
              <w:t>765</w:t>
            </w:r>
          </w:p>
        </w:tc>
        <w:tc>
          <w:tcPr>
            <w:tcW w:w="1293" w:type="dxa"/>
            <w:vAlign w:val="center"/>
          </w:tcPr>
          <w:p w:rsidR="00F304AE" w:rsidRDefault="000C7025">
            <w:pPr>
              <w:jc w:val="center"/>
              <w:rPr>
                <w:rFonts w:ascii="Calibri" w:eastAsia="Calibri" w:hAnsi="Calibri" w:cs="Calibri"/>
              </w:rPr>
            </w:pPr>
            <w:r>
              <w:rPr>
                <w:rFonts w:ascii="Calibri" w:eastAsia="Calibri" w:hAnsi="Calibri" w:cs="Calibri"/>
              </w:rPr>
              <w:t>1 364</w:t>
            </w:r>
          </w:p>
        </w:tc>
        <w:tc>
          <w:tcPr>
            <w:tcW w:w="761" w:type="dxa"/>
            <w:vAlign w:val="center"/>
          </w:tcPr>
          <w:p w:rsidR="00F304AE" w:rsidRDefault="000C7025">
            <w:pPr>
              <w:jc w:val="center"/>
              <w:rPr>
                <w:rFonts w:ascii="Calibri" w:eastAsia="Calibri" w:hAnsi="Calibri" w:cs="Calibri"/>
              </w:rPr>
            </w:pPr>
            <w:r>
              <w:rPr>
                <w:rFonts w:ascii="Calibri" w:eastAsia="Calibri" w:hAnsi="Calibri" w:cs="Calibri"/>
                <w:b/>
              </w:rPr>
              <w:t>3 438</w:t>
            </w:r>
          </w:p>
        </w:tc>
      </w:tr>
    </w:tbl>
    <w:p w:rsidR="00F304AE" w:rsidRDefault="00F304AE">
      <w:pPr>
        <w:spacing w:after="0" w:line="240" w:lineRule="auto"/>
        <w:jc w:val="both"/>
      </w:pPr>
    </w:p>
    <w:p w:rsidR="005E2059" w:rsidRDefault="005E2059">
      <w:pPr>
        <w:spacing w:after="0" w:line="240" w:lineRule="auto"/>
        <w:jc w:val="both"/>
        <w:rPr>
          <w:b/>
          <w:lang w:val="en-US"/>
        </w:rPr>
      </w:pPr>
    </w:p>
    <w:p w:rsidR="005E2059" w:rsidRDefault="005E2059">
      <w:pPr>
        <w:spacing w:after="0" w:line="240" w:lineRule="auto"/>
        <w:jc w:val="both"/>
        <w:rPr>
          <w:b/>
          <w:lang w:val="en-US"/>
        </w:rPr>
      </w:pPr>
    </w:p>
    <w:p w:rsidR="005E2059" w:rsidRDefault="005E2059">
      <w:pPr>
        <w:spacing w:after="0" w:line="240" w:lineRule="auto"/>
        <w:jc w:val="both"/>
        <w:rPr>
          <w:b/>
          <w:lang w:val="en-US"/>
        </w:rPr>
      </w:pPr>
    </w:p>
    <w:p w:rsidR="00F304AE" w:rsidRPr="00B944B2" w:rsidRDefault="000C7025">
      <w:pPr>
        <w:spacing w:after="0" w:line="240" w:lineRule="auto"/>
        <w:jc w:val="both"/>
        <w:rPr>
          <w:b/>
          <w:lang w:val="en-US"/>
        </w:rPr>
      </w:pPr>
      <w:r w:rsidRPr="00B944B2">
        <w:rPr>
          <w:b/>
          <w:lang w:val="en-US"/>
        </w:rPr>
        <w:t>A solution based on climate justice</w:t>
      </w:r>
    </w:p>
    <w:p w:rsidR="00F304AE" w:rsidRPr="00B944B2" w:rsidRDefault="000C7025">
      <w:pPr>
        <w:spacing w:after="0" w:line="240" w:lineRule="auto"/>
        <w:jc w:val="both"/>
        <w:rPr>
          <w:lang w:val="en-US"/>
        </w:rPr>
      </w:pPr>
      <w:r w:rsidRPr="00B944B2">
        <w:rPr>
          <w:lang w:val="en-US"/>
        </w:rPr>
        <w:t>Each year, the Union would auction emission permits to fossil fuel companies. The quota of permits would be reduced each year, until it reached zero at a predetermined date, say 2075. The quota would</w:t>
      </w:r>
      <w:r w:rsidRPr="00B944B2">
        <w:rPr>
          <w:lang w:val="en-US"/>
        </w:rPr>
        <w:t xml:space="preserve"> respect a global emissions target compatible with the objective of the Paris Agreement. To allocate a carbon budget to countries outside the Union, the quota would correspond to the emissions target in relation to the Union's share of the world's populati</w:t>
      </w:r>
      <w:r w:rsidRPr="00B944B2">
        <w:rPr>
          <w:lang w:val="en-US"/>
        </w:rPr>
        <w:t>on. This carbon market system would be complemented by a floor price for carbon, initially set at $10/tCO</w:t>
      </w:r>
      <w:r w:rsidRPr="00B944B2">
        <w:rPr>
          <w:vertAlign w:val="subscript"/>
          <w:lang w:val="en-US"/>
        </w:rPr>
        <w:t>2</w:t>
      </w:r>
      <w:r w:rsidRPr="00B944B2">
        <w:rPr>
          <w:lang w:val="en-US"/>
        </w:rPr>
        <w:t xml:space="preserve">, which would simplify the quota system during its initial introduction, and by a carbon </w:t>
      </w:r>
      <w:r w:rsidR="00F01B9A">
        <w:rPr>
          <w:lang w:val="en-US"/>
        </w:rPr>
        <w:t>tariff</w:t>
      </w:r>
      <w:r w:rsidRPr="00B944B2">
        <w:rPr>
          <w:lang w:val="en-US"/>
        </w:rPr>
        <w:t xml:space="preserve"> at the Union's borders, to ensure that imported emissions</w:t>
      </w:r>
      <w:r w:rsidRPr="00B944B2">
        <w:rPr>
          <w:lang w:val="en-US"/>
        </w:rPr>
        <w:t xml:space="preserve"> do not benefit from an undue advantage. </w:t>
      </w:r>
    </w:p>
    <w:p w:rsidR="00F304AE" w:rsidRPr="00B944B2" w:rsidRDefault="00F304AE">
      <w:pPr>
        <w:spacing w:after="0" w:line="240" w:lineRule="auto"/>
        <w:jc w:val="both"/>
        <w:rPr>
          <w:lang w:val="en-US"/>
        </w:rPr>
      </w:pPr>
    </w:p>
    <w:p w:rsidR="00F304AE" w:rsidRDefault="005E2059">
      <w:pPr>
        <w:spacing w:after="0" w:line="240" w:lineRule="auto"/>
        <w:jc w:val="both"/>
        <w:rPr>
          <w:lang w:val="en-US"/>
        </w:rPr>
      </w:pPr>
      <w:r>
        <w:rPr>
          <w:lang w:val="en-US"/>
        </w:rPr>
        <w:t>The Union</w:t>
      </w:r>
      <w:r w:rsidR="000C7025" w:rsidRPr="00B944B2">
        <w:rPr>
          <w:lang w:val="en-US"/>
        </w:rPr>
        <w:t xml:space="preserve"> would set a benchmark for contributions and transfers, resolving a long-standing debate on the distribution of decarbonization e</w:t>
      </w:r>
      <w:r w:rsidR="000C7025" w:rsidRPr="00B944B2">
        <w:rPr>
          <w:lang w:val="en-US"/>
        </w:rPr>
        <w:t xml:space="preserve">fforts: financial contributions would be proportional to </w:t>
      </w:r>
      <w:r>
        <w:rPr>
          <w:lang w:val="en-US"/>
        </w:rPr>
        <w:t>GNI</w:t>
      </w:r>
      <w:r w:rsidR="000C7025" w:rsidRPr="00B944B2">
        <w:rPr>
          <w:lang w:val="en-US"/>
        </w:rPr>
        <w:t>, while financial transfers and emission rights would be proportional to population. In this way, countries with per capita incomes below the global average would benefi</w:t>
      </w:r>
      <w:r w:rsidR="000C7025" w:rsidRPr="00B944B2">
        <w:rPr>
          <w:lang w:val="en-US"/>
        </w:rPr>
        <w:t>t financially (see Figure 1). Countries with per capita incomes above the world average would be net contributors, but the new taxes would be paid by the richest countries, generating additional resources for their governments. In this way, the treaty woul</w:t>
      </w:r>
      <w:r w:rsidR="000C7025" w:rsidRPr="00B944B2">
        <w:rPr>
          <w:lang w:val="en-US"/>
        </w:rPr>
        <w:t>d be a win-win situation, since the population of each country would benefit from a more stable climate, increased public revenues and sustainable development.</w:t>
      </w:r>
    </w:p>
    <w:p w:rsidR="005E2059" w:rsidRPr="00B944B2" w:rsidRDefault="005E2059">
      <w:pPr>
        <w:spacing w:after="0" w:line="240" w:lineRule="auto"/>
        <w:jc w:val="both"/>
        <w:rPr>
          <w:lang w:val="en-US"/>
        </w:rPr>
      </w:pPr>
    </w:p>
    <w:p w:rsidR="00F304AE" w:rsidRPr="00B944B2" w:rsidRDefault="005E2059">
      <w:pPr>
        <w:spacing w:after="0" w:line="240" w:lineRule="auto"/>
        <w:jc w:val="both"/>
        <w:rPr>
          <w:lang w:val="en-US"/>
        </w:rPr>
      </w:pPr>
      <w:r>
        <w:rPr>
          <w:noProof/>
          <w:lang w:val="en-US"/>
        </w:rPr>
        <w:drawing>
          <wp:inline distT="0" distB="0" distL="0" distR="0" wp14:anchorId="338DB2F9" wp14:editId="5E17CEAD">
            <wp:extent cx="5943600" cy="2962275"/>
            <wp:effectExtent l="0" t="0" r="0" b="952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budget_gain_over_gdp_both_taxes_pop"/>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5943600" cy="2962275"/>
                    </a:xfrm>
                    <a:prstGeom prst="rect">
                      <a:avLst/>
                    </a:prstGeom>
                    <a:noFill/>
                    <a:ln>
                      <a:noFill/>
                    </a:ln>
                  </pic:spPr>
                </pic:pic>
              </a:graphicData>
            </a:graphic>
          </wp:inline>
        </w:drawing>
      </w:r>
    </w:p>
    <w:p w:rsidR="00F304AE" w:rsidRDefault="00F304AE">
      <w:pPr>
        <w:keepNext/>
        <w:jc w:val="center"/>
        <w:rPr>
          <w:color w:val="000000"/>
        </w:rPr>
      </w:pPr>
    </w:p>
    <w:p w:rsidR="00F304AE" w:rsidRPr="00B944B2" w:rsidRDefault="000C7025">
      <w:pPr>
        <w:spacing w:after="0" w:line="240" w:lineRule="auto"/>
        <w:jc w:val="center"/>
        <w:rPr>
          <w:sz w:val="20"/>
          <w:szCs w:val="20"/>
          <w:lang w:val="en-US"/>
        </w:rPr>
      </w:pPr>
      <w:r w:rsidRPr="00B944B2">
        <w:rPr>
          <w:color w:val="000000"/>
          <w:sz w:val="20"/>
          <w:szCs w:val="20"/>
          <w:lang w:val="en-US"/>
        </w:rPr>
        <w:t>Figure 1: Gains for national budgets from new taxes and net transfers.</w:t>
      </w:r>
      <w:r w:rsidRPr="00B944B2">
        <w:rPr>
          <w:color w:val="000000"/>
          <w:sz w:val="20"/>
          <w:szCs w:val="20"/>
          <w:lang w:val="en-US"/>
        </w:rPr>
        <w:br/>
        <w:t xml:space="preserve">Source: Fabre et al, </w:t>
      </w:r>
      <w:r w:rsidRPr="00B944B2">
        <w:rPr>
          <w:i/>
          <w:color w:val="000000"/>
          <w:sz w:val="20"/>
          <w:szCs w:val="20"/>
          <w:lang w:val="en-US"/>
        </w:rPr>
        <w:t>A shared vision toward global climate justice</w:t>
      </w:r>
      <w:r w:rsidRPr="00B944B2">
        <w:rPr>
          <w:color w:val="000000"/>
          <w:sz w:val="20"/>
          <w:szCs w:val="20"/>
          <w:lang w:val="en-US"/>
        </w:rPr>
        <w:t>.</w:t>
      </w:r>
    </w:p>
    <w:p w:rsidR="00F304AE" w:rsidRPr="00B944B2" w:rsidRDefault="00F304AE">
      <w:pPr>
        <w:spacing w:after="0" w:line="240" w:lineRule="auto"/>
        <w:jc w:val="both"/>
        <w:rPr>
          <w:lang w:val="en-US"/>
        </w:rPr>
      </w:pPr>
    </w:p>
    <w:p w:rsidR="00F304AE" w:rsidRPr="00B944B2" w:rsidRDefault="00F304AE">
      <w:pPr>
        <w:spacing w:after="0" w:line="240" w:lineRule="auto"/>
        <w:jc w:val="both"/>
        <w:rPr>
          <w:lang w:val="en-US"/>
        </w:rPr>
      </w:pPr>
    </w:p>
    <w:p w:rsidR="00F304AE" w:rsidRPr="00B944B2" w:rsidRDefault="00F304AE">
      <w:pPr>
        <w:spacing w:after="0" w:line="240" w:lineRule="auto"/>
        <w:jc w:val="both"/>
        <w:rPr>
          <w:lang w:val="en-US"/>
        </w:rPr>
      </w:pPr>
    </w:p>
    <w:p w:rsidR="00F304AE" w:rsidRPr="00B944B2" w:rsidRDefault="000C7025">
      <w:pPr>
        <w:spacing w:after="0" w:line="240" w:lineRule="auto"/>
        <w:jc w:val="both"/>
        <w:rPr>
          <w:b/>
          <w:lang w:val="en-US"/>
        </w:rPr>
      </w:pPr>
      <w:r w:rsidRPr="00B944B2">
        <w:rPr>
          <w:b/>
          <w:lang w:val="en-US"/>
        </w:rPr>
        <w:t>A pragmatic treaty in the interest of the greatest number</w:t>
      </w:r>
    </w:p>
    <w:p w:rsidR="00F304AE" w:rsidRPr="00B944B2" w:rsidRDefault="000C7025">
      <w:pPr>
        <w:spacing w:after="0" w:line="240" w:lineRule="auto"/>
        <w:jc w:val="both"/>
        <w:rPr>
          <w:lang w:val="en-US"/>
        </w:rPr>
      </w:pPr>
      <w:r w:rsidRPr="00B944B2">
        <w:rPr>
          <w:lang w:val="en-US"/>
        </w:rPr>
        <w:t>The Union would be open to all countries. To encourage as many countries as possi</w:t>
      </w:r>
      <w:r w:rsidRPr="00B944B2">
        <w:rPr>
          <w:lang w:val="en-US"/>
        </w:rPr>
        <w:t xml:space="preserve">ble to join, the treaty would include elements of flexibility and conditional cooperation. In particular, the participation required of a high-income country would be reduced to the extent that other high-income countries did not </w:t>
      </w:r>
      <w:r w:rsidRPr="00B944B2">
        <w:rPr>
          <w:lang w:val="en-US"/>
        </w:rPr>
        <w:lastRenderedPageBreak/>
        <w:t xml:space="preserve">participate. Thus, if the </w:t>
      </w:r>
      <w:r w:rsidRPr="00B944B2">
        <w:rPr>
          <w:lang w:val="en-US"/>
        </w:rPr>
        <w:t xml:space="preserve">European countries join the Union but the United States and Japan do not, Europe's contribution could be halved. </w:t>
      </w:r>
      <w:r w:rsidR="00065891" w:rsidRPr="00065891">
        <w:rPr>
          <w:lang w:val="en-US"/>
        </w:rPr>
        <w:t>Also, to facilitate the accession to the Union of fossil-dependent countries such as China, Iraq or South Africa, a country could make its participation in carbon pricing conditional on an exemption from the system of taxes and transfers (it would then be neither a beneficiary nor a contributor), provided this is accepted by the majority of other countries (weighted by their population).</w:t>
      </w:r>
      <w:r w:rsidR="00065891">
        <w:rPr>
          <w:lang w:val="en-US"/>
        </w:rPr>
        <w:t xml:space="preserve"> Finally</w:t>
      </w:r>
      <w:r w:rsidRPr="00B944B2">
        <w:rPr>
          <w:lang w:val="en-US"/>
        </w:rPr>
        <w:t>, a country could make its participation c</w:t>
      </w:r>
      <w:r w:rsidRPr="00B944B2">
        <w:rPr>
          <w:lang w:val="en-US"/>
        </w:rPr>
        <w:t>onditional on the participation of one or more other countries, or on</w:t>
      </w:r>
      <w:r w:rsidR="00F01B9A">
        <w:rPr>
          <w:lang w:val="en-US"/>
        </w:rPr>
        <w:t xml:space="preserve"> the </w:t>
      </w:r>
      <w:r w:rsidR="00F01B9A" w:rsidRPr="00B944B2">
        <w:rPr>
          <w:lang w:val="en-US"/>
        </w:rPr>
        <w:t>GDP or emissions covered by the Union</w:t>
      </w:r>
      <w:r w:rsidRPr="00B944B2">
        <w:rPr>
          <w:lang w:val="en-US"/>
        </w:rPr>
        <w:t xml:space="preserve"> exceeding a threshold</w:t>
      </w:r>
      <w:r w:rsidRPr="00B944B2">
        <w:rPr>
          <w:lang w:val="en-US"/>
        </w:rPr>
        <w:t>. For example, the European Union could choose to participate on condition that 60% of global emissions are covered</w:t>
      </w:r>
      <w:r w:rsidRPr="00B944B2">
        <w:rPr>
          <w:lang w:val="en-US"/>
        </w:rPr>
        <w:t xml:space="preserve">, which would de facto make its participation conditional on that of China (which accounts for 30% of global emissions). </w:t>
      </w:r>
    </w:p>
    <w:p w:rsidR="00F304AE" w:rsidRPr="00B944B2" w:rsidRDefault="00F304AE">
      <w:pPr>
        <w:spacing w:after="0" w:line="240" w:lineRule="auto"/>
        <w:jc w:val="both"/>
        <w:rPr>
          <w:lang w:val="en-US"/>
        </w:rPr>
      </w:pPr>
    </w:p>
    <w:p w:rsidR="00F304AE" w:rsidRPr="00B944B2" w:rsidRDefault="000C7025">
      <w:pPr>
        <w:spacing w:after="0" w:line="240" w:lineRule="auto"/>
        <w:jc w:val="both"/>
        <w:rPr>
          <w:lang w:val="en-US"/>
        </w:rPr>
      </w:pPr>
      <w:r w:rsidRPr="00B944B2">
        <w:rPr>
          <w:lang w:val="en-US"/>
        </w:rPr>
        <w:t>Var</w:t>
      </w:r>
      <w:r w:rsidRPr="00B944B2">
        <w:rPr>
          <w:lang w:val="en-US"/>
        </w:rPr>
        <w:t>ious countries in the</w:t>
      </w:r>
      <w:r w:rsidR="007D791B">
        <w:rPr>
          <w:lang w:val="en-US"/>
        </w:rPr>
        <w:t xml:space="preserve"> Global</w:t>
      </w:r>
      <w:r w:rsidRPr="00B944B2">
        <w:rPr>
          <w:lang w:val="en-US"/>
        </w:rPr>
        <w:t xml:space="preserve"> South could spearhead such a Union. </w:t>
      </w:r>
      <w:r w:rsidR="005E2059" w:rsidRPr="00B944B2">
        <w:rPr>
          <w:lang w:val="en-US"/>
        </w:rPr>
        <w:t xml:space="preserve">Brazil is hosting the next COP, and intends to make it a major event. </w:t>
      </w:r>
      <w:r w:rsidRPr="00B944B2">
        <w:rPr>
          <w:lang w:val="en-US"/>
        </w:rPr>
        <w:t>The African Union has already taken similar (albeit less precise) positions.</w:t>
      </w:r>
      <w:r w:rsidRPr="00B944B2">
        <w:rPr>
          <w:lang w:val="en-US"/>
        </w:rPr>
        <w:t xml:space="preserve"> </w:t>
      </w:r>
      <w:r w:rsidRPr="00B944B2">
        <w:rPr>
          <w:lang w:val="en-US"/>
        </w:rPr>
        <w:t xml:space="preserve">Mexico is presided over by a climatologist, one of </w:t>
      </w:r>
      <w:r w:rsidRPr="00B944B2">
        <w:rPr>
          <w:lang w:val="en-US"/>
        </w:rPr>
        <w:t xml:space="preserve">the main authors of the fifth IPCC report. India would be well advised to join such a Union, since it would receive large transfers from the rest of the world. </w:t>
      </w:r>
      <w:r w:rsidRPr="00B944B2">
        <w:rPr>
          <w:lang w:val="en-US"/>
        </w:rPr>
        <w:t xml:space="preserve">China, with a per capita income equal to the world average, would be neither a contributor nor a beneficiary; it would have an interest in participating to ensure a low-carbon </w:t>
      </w:r>
      <w:r w:rsidRPr="00B944B2">
        <w:rPr>
          <w:lang w:val="en-US"/>
        </w:rPr>
        <w:t xml:space="preserve">future in the long term, and outlets for its low-carbon equipment exports in the short term. In the absence of the United States, Europe would be the main contributor, and would enjoy a certain prestige. Moreover, recent academic surveys reveal that three </w:t>
      </w:r>
      <w:r w:rsidRPr="00B944B2">
        <w:rPr>
          <w:lang w:val="en-US"/>
        </w:rPr>
        <w:t>quarters of Europeans support international climate and redistributive measures, and are ready to contribute financially to end climate change and extreme poverty</w:t>
      </w:r>
      <w:r w:rsidR="000B6644">
        <w:rPr>
          <w:lang w:val="en-US"/>
        </w:rPr>
        <w:t>.</w:t>
      </w:r>
      <w:r>
        <w:rPr>
          <w:vertAlign w:val="superscript"/>
        </w:rPr>
        <w:footnoteReference w:id="3"/>
      </w:r>
      <w:r w:rsidRPr="00B944B2">
        <w:rPr>
          <w:lang w:val="en-US"/>
        </w:rPr>
        <w:t xml:space="preserve"> It's hard to imagine certain countries, such as the United States, Russia and Saudi Arabia</w:t>
      </w:r>
      <w:r w:rsidRPr="00B944B2">
        <w:rPr>
          <w:lang w:val="en-US"/>
        </w:rPr>
        <w:t>, joining the Sustainable Union in the short term. However, we can hope that social pressure will then be exerted on (and in) these recalcitrant countries, and eventually modify their political positioning.</w:t>
      </w:r>
    </w:p>
    <w:p w:rsidR="00F304AE" w:rsidRPr="00B944B2" w:rsidRDefault="00F304AE">
      <w:pPr>
        <w:spacing w:after="0" w:line="240" w:lineRule="auto"/>
        <w:jc w:val="both"/>
        <w:rPr>
          <w:lang w:val="en-US"/>
        </w:rPr>
      </w:pPr>
    </w:p>
    <w:p w:rsidR="00F304AE" w:rsidRPr="00B944B2" w:rsidRDefault="000C7025">
      <w:pPr>
        <w:spacing w:after="0" w:line="240" w:lineRule="auto"/>
        <w:jc w:val="both"/>
        <w:rPr>
          <w:b/>
          <w:lang w:val="en-US"/>
        </w:rPr>
      </w:pPr>
      <w:r w:rsidRPr="00B944B2">
        <w:rPr>
          <w:b/>
          <w:lang w:val="en-US"/>
        </w:rPr>
        <w:t>A solution not as impossible as you might think</w:t>
      </w:r>
    </w:p>
    <w:p w:rsidR="00F304AE" w:rsidRDefault="000C7025">
      <w:pPr>
        <w:spacing w:after="0" w:line="240" w:lineRule="auto"/>
        <w:jc w:val="both"/>
        <w:rPr>
          <w:lang w:val="en-US"/>
        </w:rPr>
      </w:pPr>
      <w:r w:rsidRPr="00B944B2">
        <w:rPr>
          <w:lang w:val="en-US"/>
        </w:rPr>
        <w:t>Many people believe that the reason such a treaty has not yet seen the light of day is that such an agreement is politically impossible. Yet the few academic surveys on the subject reveal strong public support for international climate policies, supranatio</w:t>
      </w:r>
      <w:r w:rsidRPr="00B944B2">
        <w:rPr>
          <w:lang w:val="en-US"/>
        </w:rPr>
        <w:t>nal governance and North-South solidarity. A survey of 125 countries shows that 69% of people are prepared to contribute 1% of their income to the fight against climate change</w:t>
      </w:r>
      <w:r w:rsidR="000B6644">
        <w:rPr>
          <w:lang w:val="en-US"/>
        </w:rPr>
        <w:t>.</w:t>
      </w:r>
      <w:r>
        <w:rPr>
          <w:vertAlign w:val="superscript"/>
        </w:rPr>
        <w:footnoteReference w:id="4"/>
      </w:r>
      <w:r w:rsidRPr="00B944B2">
        <w:rPr>
          <w:lang w:val="en-US"/>
        </w:rPr>
        <w:t xml:space="preserve"> Another shows that in each of the 17 countries surveyed (which include China,</w:t>
      </w:r>
      <w:r w:rsidRPr="00B944B2">
        <w:rPr>
          <w:lang w:val="en-US"/>
        </w:rPr>
        <w:t xml:space="preserve"> India, Russia, France, Egypt...), around 70% of the population support a global democratic government to deal with global issues (the USA is the country where this opinion is in the minority, with 45% support)</w:t>
      </w:r>
      <w:r w:rsidR="000B6644">
        <w:rPr>
          <w:lang w:val="en-US"/>
        </w:rPr>
        <w:t>.</w:t>
      </w:r>
      <w:r>
        <w:rPr>
          <w:vertAlign w:val="superscript"/>
        </w:rPr>
        <w:footnoteReference w:id="5"/>
      </w:r>
      <w:r w:rsidRPr="00B944B2">
        <w:rPr>
          <w:lang w:val="en-US"/>
        </w:rPr>
        <w:t xml:space="preserve"> </w:t>
      </w:r>
      <w:r w:rsidR="009619BE">
        <w:rPr>
          <w:lang w:val="en-US"/>
        </w:rPr>
        <w:t>Meanwhile</w:t>
      </w:r>
      <w:r w:rsidRPr="00B944B2">
        <w:rPr>
          <w:lang w:val="en-US"/>
        </w:rPr>
        <w:t>, a global tax on million</w:t>
      </w:r>
      <w:r w:rsidRPr="00B944B2">
        <w:rPr>
          <w:lang w:val="en-US"/>
        </w:rPr>
        <w:t>aires to fund low-income countries is supported by 8 out of 10 people in high-income countries (see Figure 2), and parties advocating global redistribution could win votes in elections</w:t>
      </w:r>
      <w:r w:rsidR="00F607A0">
        <w:rPr>
          <w:lang w:val="en-US"/>
        </w:rPr>
        <w:t>.</w:t>
      </w:r>
      <w:r w:rsidR="00F607A0">
        <w:rPr>
          <w:vertAlign w:val="superscript"/>
          <w:lang w:val="en-US"/>
        </w:rPr>
        <w:t>3</w:t>
      </w:r>
      <w:r w:rsidRPr="00B944B2">
        <w:rPr>
          <w:lang w:val="en-US"/>
        </w:rPr>
        <w:t xml:space="preserve"> </w:t>
      </w:r>
      <w:r w:rsidRPr="00B944B2">
        <w:rPr>
          <w:lang w:val="en-US"/>
        </w:rPr>
        <w:t xml:space="preserve">Admittedly, the political impossibility could come from governments </w:t>
      </w:r>
      <w:r w:rsidRPr="00B944B2">
        <w:rPr>
          <w:lang w:val="en-US"/>
        </w:rPr>
        <w:t>rather than the population. By blocking any ambition in climate or tax agreements, the United States has played a decisive role. Trump's election should therefore be seen as an opportunity: it is now clear to everyone that it is an illusion to seek the coo</w:t>
      </w:r>
      <w:r w:rsidRPr="00B944B2">
        <w:rPr>
          <w:lang w:val="en-US"/>
        </w:rPr>
        <w:t xml:space="preserve">peration of the United States, and that we must instead be resolute and united if we are not to lose ground in the confrontation that the President has initiated with the rest of the world, including with his allies. </w:t>
      </w:r>
    </w:p>
    <w:p w:rsidR="00B543FD" w:rsidRDefault="00B543FD">
      <w:pPr>
        <w:spacing w:after="0" w:line="240" w:lineRule="auto"/>
        <w:jc w:val="both"/>
        <w:rPr>
          <w:lang w:val="en-US"/>
        </w:rPr>
      </w:pPr>
    </w:p>
    <w:p w:rsidR="00911C64" w:rsidRDefault="00911C64" w:rsidP="00911C64">
      <w:pPr>
        <w:keepNext/>
        <w:pBdr>
          <w:top w:val="nil"/>
          <w:left w:val="nil"/>
          <w:bottom w:val="nil"/>
          <w:right w:val="nil"/>
          <w:between w:val="nil"/>
        </w:pBdr>
        <w:spacing w:after="200" w:line="240" w:lineRule="auto"/>
        <w:jc w:val="center"/>
        <w:rPr>
          <w:color w:val="000000"/>
          <w:sz w:val="18"/>
          <w:szCs w:val="18"/>
        </w:rPr>
      </w:pPr>
      <w:r>
        <w:rPr>
          <w:noProof/>
          <w:color w:val="000000"/>
          <w:sz w:val="18"/>
          <w:szCs w:val="18"/>
          <w:lang w:val="en-US"/>
        </w:rPr>
        <w:drawing>
          <wp:inline distT="0" distB="0" distL="0" distR="0">
            <wp:extent cx="5937250" cy="2152650"/>
            <wp:effectExtent l="0" t="0" r="6350" b="0"/>
            <wp:docPr id="4" name="Image 4" descr="C:\Users\fabre\AppData\Local\Microsoft\Windows\INetCache\Content.Word\Heatplot_global_tax_attitudes_share_only_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fabre\AppData\Local\Microsoft\Windows\INetCache\Content.Word\Heatplot_global_tax_attitudes_share_only_top.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37250" cy="2152650"/>
                    </a:xfrm>
                    <a:prstGeom prst="rect">
                      <a:avLst/>
                    </a:prstGeom>
                    <a:noFill/>
                    <a:ln>
                      <a:noFill/>
                    </a:ln>
                  </pic:spPr>
                </pic:pic>
              </a:graphicData>
            </a:graphic>
          </wp:inline>
        </w:drawing>
      </w:r>
    </w:p>
    <w:p w:rsidR="00911C64" w:rsidRPr="00B944B2" w:rsidRDefault="00911C64" w:rsidP="00911C64">
      <w:pPr>
        <w:pBdr>
          <w:top w:val="nil"/>
          <w:left w:val="nil"/>
          <w:bottom w:val="nil"/>
          <w:right w:val="nil"/>
          <w:between w:val="nil"/>
        </w:pBdr>
        <w:spacing w:after="200" w:line="240" w:lineRule="auto"/>
        <w:jc w:val="center"/>
        <w:rPr>
          <w:color w:val="000000"/>
          <w:sz w:val="20"/>
          <w:szCs w:val="20"/>
          <w:lang w:val="en-US"/>
        </w:rPr>
      </w:pPr>
      <w:r w:rsidRPr="00B944B2">
        <w:rPr>
          <w:color w:val="000000"/>
          <w:sz w:val="20"/>
          <w:szCs w:val="20"/>
          <w:lang w:val="en-US"/>
        </w:rPr>
        <w:t xml:space="preserve">Figure 2. Support for global redistribution (% of responses </w:t>
      </w:r>
      <w:r w:rsidRPr="00B944B2">
        <w:rPr>
          <w:i/>
          <w:color w:val="000000"/>
          <w:sz w:val="20"/>
          <w:szCs w:val="20"/>
          <w:lang w:val="en-US"/>
        </w:rPr>
        <w:t xml:space="preserve">Somewhat </w:t>
      </w:r>
      <w:r w:rsidRPr="00B944B2">
        <w:rPr>
          <w:color w:val="000000"/>
          <w:sz w:val="20"/>
          <w:szCs w:val="20"/>
          <w:lang w:val="en-US"/>
        </w:rPr>
        <w:t xml:space="preserve">or </w:t>
      </w:r>
      <w:r>
        <w:rPr>
          <w:i/>
          <w:color w:val="000000"/>
          <w:sz w:val="20"/>
          <w:szCs w:val="20"/>
          <w:lang w:val="en-US"/>
        </w:rPr>
        <w:t>Strong support</w:t>
      </w:r>
      <w:r w:rsidRPr="00B944B2">
        <w:rPr>
          <w:color w:val="000000"/>
          <w:sz w:val="20"/>
          <w:szCs w:val="20"/>
          <w:lang w:val="en-US"/>
        </w:rPr>
        <w:t xml:space="preserve">, excluding </w:t>
      </w:r>
      <w:r w:rsidRPr="00B944B2">
        <w:rPr>
          <w:i/>
          <w:color w:val="000000"/>
          <w:sz w:val="20"/>
          <w:szCs w:val="20"/>
          <w:lang w:val="en-US"/>
        </w:rPr>
        <w:t>Indifferent</w:t>
      </w:r>
      <w:r w:rsidRPr="00B944B2">
        <w:rPr>
          <w:color w:val="000000"/>
          <w:sz w:val="20"/>
          <w:szCs w:val="20"/>
          <w:lang w:val="en-US"/>
        </w:rPr>
        <w:t xml:space="preserve">). </w:t>
      </w:r>
      <w:r w:rsidRPr="00B944B2">
        <w:rPr>
          <w:color w:val="000000"/>
          <w:sz w:val="20"/>
          <w:szCs w:val="20"/>
          <w:lang w:val="en-US"/>
        </w:rPr>
        <w:br/>
        <w:t xml:space="preserve">Source: Fabre et al, </w:t>
      </w:r>
      <w:r w:rsidRPr="00B944B2">
        <w:rPr>
          <w:i/>
          <w:color w:val="000000"/>
          <w:sz w:val="20"/>
          <w:szCs w:val="20"/>
          <w:lang w:val="en-US"/>
        </w:rPr>
        <w:t>Majority Support for Global Redistributive and Climate Policies</w:t>
      </w:r>
      <w:r w:rsidRPr="00B944B2">
        <w:rPr>
          <w:color w:val="000000"/>
          <w:sz w:val="20"/>
          <w:szCs w:val="20"/>
          <w:lang w:val="en-US"/>
        </w:rPr>
        <w:t>, 2025.</w:t>
      </w:r>
    </w:p>
    <w:p w:rsidR="00911C64" w:rsidRDefault="00911C64">
      <w:pPr>
        <w:spacing w:after="0" w:line="240" w:lineRule="auto"/>
        <w:jc w:val="both"/>
        <w:rPr>
          <w:lang w:val="en-US"/>
        </w:rPr>
      </w:pPr>
    </w:p>
    <w:p w:rsidR="00B543FD" w:rsidRDefault="00B543FD">
      <w:pPr>
        <w:spacing w:after="0" w:line="240" w:lineRule="auto"/>
        <w:jc w:val="both"/>
        <w:rPr>
          <w:lang w:val="en-US"/>
        </w:rPr>
      </w:pPr>
      <w:r w:rsidRPr="00B543FD">
        <w:rPr>
          <w:lang w:val="en-US"/>
        </w:rPr>
        <w:t xml:space="preserve">Although they still need to be amended and negotiated, </w:t>
      </w:r>
      <w:r w:rsidR="00962A64">
        <w:rPr>
          <w:lang w:val="en-US"/>
        </w:rPr>
        <w:t>I</w:t>
      </w:r>
      <w:r w:rsidRPr="00B543FD">
        <w:rPr>
          <w:lang w:val="en-US"/>
        </w:rPr>
        <w:t xml:space="preserve"> believe that the principles and </w:t>
      </w:r>
      <w:r>
        <w:rPr>
          <w:lang w:val="en-US"/>
        </w:rPr>
        <w:t>proposals</w:t>
      </w:r>
      <w:r w:rsidRPr="00B543FD">
        <w:rPr>
          <w:lang w:val="en-US"/>
        </w:rPr>
        <w:t xml:space="preserve"> that </w:t>
      </w:r>
      <w:r w:rsidR="00962A64">
        <w:rPr>
          <w:lang w:val="en-US"/>
        </w:rPr>
        <w:t xml:space="preserve">I </w:t>
      </w:r>
      <w:r w:rsidRPr="00B543FD">
        <w:rPr>
          <w:lang w:val="en-US"/>
        </w:rPr>
        <w:t xml:space="preserve">put forward can pave the way for fruitful international agreements. </w:t>
      </w:r>
      <w:r w:rsidR="007E2122">
        <w:rPr>
          <w:lang w:val="en-US"/>
        </w:rPr>
        <w:t>I</w:t>
      </w:r>
      <w:r w:rsidRPr="00B543FD">
        <w:rPr>
          <w:lang w:val="en-US"/>
        </w:rPr>
        <w:t xml:space="preserve"> hope that </w:t>
      </w:r>
      <w:r w:rsidR="007E2122">
        <w:rPr>
          <w:lang w:val="en-US"/>
        </w:rPr>
        <w:t>these</w:t>
      </w:r>
      <w:r w:rsidRPr="00B543FD">
        <w:rPr>
          <w:lang w:val="en-US"/>
        </w:rPr>
        <w:t xml:space="preserve"> proposals can contribute to a positive political tipping point where a much larger and growing group of nations work together to solve humanity’s great challenges.</w:t>
      </w:r>
    </w:p>
    <w:p w:rsidR="00443D0D" w:rsidRPr="00B944B2" w:rsidRDefault="00443D0D">
      <w:pPr>
        <w:spacing w:after="0" w:line="240" w:lineRule="auto"/>
        <w:jc w:val="both"/>
        <w:rPr>
          <w:lang w:val="en-US"/>
        </w:rPr>
      </w:pPr>
    </w:p>
    <w:p w:rsidR="00F304AE" w:rsidRPr="00B944B2" w:rsidRDefault="00F304AE">
      <w:pPr>
        <w:spacing w:after="0" w:line="240" w:lineRule="auto"/>
        <w:jc w:val="both"/>
        <w:rPr>
          <w:lang w:val="en-US"/>
        </w:rPr>
      </w:pPr>
    </w:p>
    <w:p w:rsidR="00F304AE" w:rsidRPr="00B944B2" w:rsidRDefault="00F304AE">
      <w:pPr>
        <w:spacing w:after="0" w:line="240" w:lineRule="auto"/>
        <w:jc w:val="both"/>
        <w:rPr>
          <w:lang w:val="en-US"/>
        </w:rPr>
      </w:pPr>
    </w:p>
    <w:p w:rsidR="00F304AE" w:rsidRPr="00B944B2" w:rsidRDefault="00F304AE">
      <w:pPr>
        <w:spacing w:after="0" w:line="240" w:lineRule="auto"/>
        <w:jc w:val="both"/>
        <w:rPr>
          <w:lang w:val="en-US"/>
        </w:rPr>
      </w:pPr>
    </w:p>
    <w:p w:rsidR="00F304AE" w:rsidRPr="00B944B2" w:rsidRDefault="000C7025">
      <w:pPr>
        <w:spacing w:after="0" w:line="240" w:lineRule="auto"/>
        <w:jc w:val="right"/>
        <w:rPr>
          <w:lang w:val="en-US"/>
        </w:rPr>
      </w:pPr>
      <w:r w:rsidRPr="00B944B2">
        <w:rPr>
          <w:b/>
          <w:lang w:val="en-US"/>
        </w:rPr>
        <w:t>Adrien Fabre</w:t>
      </w:r>
      <w:r w:rsidRPr="00B944B2">
        <w:rPr>
          <w:lang w:val="en-US"/>
        </w:rPr>
        <w:t>,</w:t>
      </w:r>
    </w:p>
    <w:p w:rsidR="00F304AE" w:rsidRDefault="000C7025">
      <w:pPr>
        <w:spacing w:after="0" w:line="240" w:lineRule="auto"/>
        <w:jc w:val="right"/>
        <w:rPr>
          <w:lang w:val="en-US"/>
        </w:rPr>
      </w:pPr>
      <w:r w:rsidRPr="00B944B2">
        <w:rPr>
          <w:lang w:val="en-US"/>
        </w:rPr>
        <w:t>CNRS researcher at the International Center for Research on Environment and Development</w:t>
      </w:r>
    </w:p>
    <w:p w:rsidR="006D273C" w:rsidRDefault="006D273C">
      <w:pPr>
        <w:spacing w:after="0" w:line="240" w:lineRule="auto"/>
        <w:jc w:val="right"/>
        <w:rPr>
          <w:lang w:val="en-US"/>
        </w:rPr>
      </w:pPr>
    </w:p>
    <w:p w:rsidR="00F304AE" w:rsidRPr="00B944B2" w:rsidRDefault="00F304AE">
      <w:pPr>
        <w:rPr>
          <w:lang w:val="en-US"/>
        </w:rPr>
      </w:pPr>
      <w:bookmarkStart w:id="1" w:name="_GoBack"/>
      <w:bookmarkEnd w:id="1"/>
    </w:p>
    <w:sectPr w:rsidR="00F304AE" w:rsidRPr="00B944B2">
      <w:pgSz w:w="12240" w:h="15840"/>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C7025" w:rsidRDefault="000C7025">
      <w:pPr>
        <w:spacing w:after="0" w:line="240" w:lineRule="auto"/>
      </w:pPr>
      <w:r>
        <w:separator/>
      </w:r>
    </w:p>
  </w:endnote>
  <w:endnote w:type="continuationSeparator" w:id="0">
    <w:p w:rsidR="000C7025" w:rsidRDefault="000C70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C7025" w:rsidRDefault="000C7025">
      <w:pPr>
        <w:spacing w:after="0" w:line="240" w:lineRule="auto"/>
      </w:pPr>
      <w:r>
        <w:separator/>
      </w:r>
    </w:p>
  </w:footnote>
  <w:footnote w:type="continuationSeparator" w:id="0">
    <w:p w:rsidR="000C7025" w:rsidRDefault="000C7025">
      <w:pPr>
        <w:spacing w:after="0" w:line="240" w:lineRule="auto"/>
      </w:pPr>
      <w:r>
        <w:continuationSeparator/>
      </w:r>
    </w:p>
  </w:footnote>
  <w:footnote w:id="1">
    <w:p w:rsidR="00F304AE" w:rsidRPr="00B944B2" w:rsidRDefault="000C7025">
      <w:pPr>
        <w:pBdr>
          <w:top w:val="nil"/>
          <w:left w:val="nil"/>
          <w:bottom w:val="nil"/>
          <w:right w:val="nil"/>
          <w:between w:val="nil"/>
        </w:pBdr>
        <w:spacing w:after="0" w:line="240" w:lineRule="auto"/>
        <w:rPr>
          <w:color w:val="000000"/>
          <w:sz w:val="20"/>
          <w:szCs w:val="20"/>
          <w:lang w:val="en-US"/>
        </w:rPr>
      </w:pPr>
      <w:r>
        <w:rPr>
          <w:vertAlign w:val="superscript"/>
        </w:rPr>
        <w:footnoteRef/>
      </w:r>
      <w:r w:rsidRPr="00B944B2">
        <w:rPr>
          <w:color w:val="000000"/>
          <w:sz w:val="20"/>
          <w:szCs w:val="20"/>
          <w:lang w:val="en-US"/>
        </w:rPr>
        <w:t xml:space="preserve"> Fabre, A., Arezki, R., Dasgupta, D., Hu, B., Sen, P., &amp; van der Ploeg, R. (2024). A shared vision towards global cli</w:t>
      </w:r>
      <w:r w:rsidRPr="00B944B2">
        <w:rPr>
          <w:color w:val="000000"/>
          <w:sz w:val="20"/>
          <w:szCs w:val="20"/>
          <w:lang w:val="en-US"/>
        </w:rPr>
        <w:t>mate justice.</w:t>
      </w:r>
    </w:p>
  </w:footnote>
  <w:footnote w:id="2">
    <w:p w:rsidR="000B6644" w:rsidRPr="00B944B2" w:rsidRDefault="000B6644" w:rsidP="000B6644">
      <w:pPr>
        <w:pBdr>
          <w:top w:val="nil"/>
          <w:left w:val="nil"/>
          <w:bottom w:val="nil"/>
          <w:right w:val="nil"/>
          <w:between w:val="nil"/>
        </w:pBdr>
        <w:spacing w:after="0" w:line="240" w:lineRule="auto"/>
        <w:rPr>
          <w:color w:val="000000"/>
          <w:sz w:val="20"/>
          <w:szCs w:val="20"/>
          <w:lang w:val="en-US"/>
        </w:rPr>
      </w:pPr>
      <w:r>
        <w:rPr>
          <w:vertAlign w:val="superscript"/>
        </w:rPr>
        <w:footnoteRef/>
      </w:r>
      <w:r w:rsidRPr="00B944B2">
        <w:rPr>
          <w:color w:val="000000"/>
          <w:sz w:val="20"/>
          <w:szCs w:val="20"/>
          <w:lang w:val="en-US"/>
        </w:rPr>
        <w:t xml:space="preserve"> Zucman, G. (2024). </w:t>
      </w:r>
      <w:hyperlink r:id="rId1">
        <w:r w:rsidRPr="00B944B2">
          <w:rPr>
            <w:color w:val="0563C1"/>
            <w:sz w:val="20"/>
            <w:szCs w:val="20"/>
            <w:u w:val="single"/>
            <w:lang w:val="en-US"/>
          </w:rPr>
          <w:t>A blueprint for a coordinated minimum effective taxation standard for ultra-high-net-worth individuals</w:t>
        </w:r>
      </w:hyperlink>
      <w:r w:rsidRPr="00B944B2">
        <w:rPr>
          <w:color w:val="000000"/>
          <w:sz w:val="20"/>
          <w:szCs w:val="20"/>
          <w:lang w:val="en-US"/>
        </w:rPr>
        <w:t>.</w:t>
      </w:r>
    </w:p>
  </w:footnote>
  <w:footnote w:id="3">
    <w:p w:rsidR="00F304AE" w:rsidRPr="00B944B2" w:rsidRDefault="000C7025">
      <w:pPr>
        <w:pBdr>
          <w:top w:val="nil"/>
          <w:left w:val="nil"/>
          <w:bottom w:val="nil"/>
          <w:right w:val="nil"/>
          <w:between w:val="nil"/>
        </w:pBdr>
        <w:spacing w:after="0" w:line="240" w:lineRule="auto"/>
        <w:rPr>
          <w:color w:val="000000"/>
          <w:sz w:val="20"/>
          <w:szCs w:val="20"/>
          <w:lang w:val="en-US"/>
        </w:rPr>
      </w:pPr>
      <w:r>
        <w:rPr>
          <w:vertAlign w:val="superscript"/>
        </w:rPr>
        <w:footnoteRef/>
      </w:r>
      <w:r w:rsidRPr="00F01B9A">
        <w:rPr>
          <w:color w:val="000000"/>
          <w:sz w:val="20"/>
          <w:szCs w:val="20"/>
        </w:rPr>
        <w:t xml:space="preserve"> Fabre, A., Douenne, T., &amp; Mattauch, L. (2023). </w:t>
      </w:r>
      <w:hyperlink r:id="rId2">
        <w:r w:rsidRPr="00B944B2">
          <w:rPr>
            <w:color w:val="0563C1"/>
            <w:sz w:val="20"/>
            <w:szCs w:val="20"/>
            <w:u w:val="single"/>
            <w:lang w:val="en-US"/>
          </w:rPr>
          <w:t>International Attitudes Toward Global Policies</w:t>
        </w:r>
      </w:hyperlink>
      <w:r w:rsidRPr="00B944B2">
        <w:rPr>
          <w:color w:val="000000"/>
          <w:sz w:val="20"/>
          <w:szCs w:val="20"/>
          <w:lang w:val="en-US"/>
        </w:rPr>
        <w:t>. FAERE Working Paper.</w:t>
      </w:r>
    </w:p>
  </w:footnote>
  <w:footnote w:id="4">
    <w:p w:rsidR="00F304AE" w:rsidRPr="00B944B2" w:rsidRDefault="000C7025">
      <w:pPr>
        <w:pBdr>
          <w:top w:val="nil"/>
          <w:left w:val="nil"/>
          <w:bottom w:val="nil"/>
          <w:right w:val="nil"/>
          <w:between w:val="nil"/>
        </w:pBdr>
        <w:spacing w:after="0" w:line="240" w:lineRule="auto"/>
        <w:rPr>
          <w:color w:val="000000"/>
          <w:sz w:val="20"/>
          <w:szCs w:val="20"/>
          <w:lang w:val="en-US"/>
        </w:rPr>
      </w:pPr>
      <w:r>
        <w:rPr>
          <w:vertAlign w:val="superscript"/>
        </w:rPr>
        <w:footnoteRef/>
      </w:r>
      <w:r w:rsidRPr="00B944B2">
        <w:rPr>
          <w:color w:val="000000"/>
          <w:sz w:val="20"/>
          <w:szCs w:val="20"/>
          <w:lang w:val="en-US"/>
        </w:rPr>
        <w:t xml:space="preserve"> Andre, P., Boneva, T., Chopra, F., &amp; Falk, A. (2024). </w:t>
      </w:r>
      <w:hyperlink r:id="rId3">
        <w:r w:rsidRPr="00B944B2">
          <w:rPr>
            <w:color w:val="0563C1"/>
            <w:sz w:val="20"/>
            <w:szCs w:val="20"/>
            <w:u w:val="single"/>
            <w:lang w:val="en-US"/>
          </w:rPr>
          <w:t>Globally representative evidence on the actual and perceived support for climate action</w:t>
        </w:r>
      </w:hyperlink>
      <w:r w:rsidRPr="00B944B2">
        <w:rPr>
          <w:color w:val="000000"/>
          <w:sz w:val="20"/>
          <w:szCs w:val="20"/>
          <w:lang w:val="en-US"/>
        </w:rPr>
        <w:t>. Nature Climate Change.</w:t>
      </w:r>
    </w:p>
  </w:footnote>
  <w:footnote w:id="5">
    <w:p w:rsidR="00F304AE" w:rsidRPr="00B944B2" w:rsidRDefault="000C7025">
      <w:pPr>
        <w:pBdr>
          <w:top w:val="nil"/>
          <w:left w:val="nil"/>
          <w:bottom w:val="nil"/>
          <w:right w:val="nil"/>
          <w:between w:val="nil"/>
        </w:pBdr>
        <w:spacing w:after="0" w:line="240" w:lineRule="auto"/>
        <w:rPr>
          <w:color w:val="000000"/>
          <w:sz w:val="20"/>
          <w:szCs w:val="20"/>
          <w:lang w:val="en-US"/>
        </w:rPr>
      </w:pPr>
      <w:r>
        <w:rPr>
          <w:vertAlign w:val="superscript"/>
        </w:rPr>
        <w:footnoteRef/>
      </w:r>
      <w:r w:rsidRPr="00B944B2">
        <w:rPr>
          <w:color w:val="000000"/>
          <w:sz w:val="20"/>
          <w:szCs w:val="20"/>
          <w:lang w:val="en-US"/>
        </w:rPr>
        <w:t xml:space="preserve"> Ghassim, F., &amp; Pauli, M. (2024). </w:t>
      </w:r>
      <w:hyperlink r:id="rId4">
        <w:r w:rsidRPr="00B944B2">
          <w:rPr>
            <w:color w:val="0563C1"/>
            <w:sz w:val="20"/>
            <w:szCs w:val="20"/>
            <w:u w:val="single"/>
            <w:lang w:val="en-US"/>
          </w:rPr>
          <w:t>Who on Eart</w:t>
        </w:r>
        <w:r w:rsidRPr="00B944B2">
          <w:rPr>
            <w:color w:val="0563C1"/>
            <w:sz w:val="20"/>
            <w:szCs w:val="20"/>
            <w:u w:val="single"/>
            <w:lang w:val="en-US"/>
          </w:rPr>
          <w:t>h Wants a World Government, What Kind, and Why? An International Survey Experiment</w:t>
        </w:r>
      </w:hyperlink>
      <w:r w:rsidRPr="00B944B2">
        <w:rPr>
          <w:color w:val="000000"/>
          <w:sz w:val="20"/>
          <w:szCs w:val="20"/>
          <w:lang w:val="en-US"/>
        </w:rPr>
        <w:t>. International Studies Quarterly.</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17A03"/>
    <w:multiLevelType w:val="multilevel"/>
    <w:tmpl w:val="129AEE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FA0B6D"/>
    <w:multiLevelType w:val="multilevel"/>
    <w:tmpl w:val="096E33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961CAE"/>
    <w:multiLevelType w:val="multilevel"/>
    <w:tmpl w:val="4172FDD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41527C"/>
    <w:multiLevelType w:val="multilevel"/>
    <w:tmpl w:val="472A9A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7E1533"/>
    <w:multiLevelType w:val="multilevel"/>
    <w:tmpl w:val="18086C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B4D7FC4"/>
    <w:multiLevelType w:val="multilevel"/>
    <w:tmpl w:val="AA62E18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2861985"/>
    <w:multiLevelType w:val="multilevel"/>
    <w:tmpl w:val="8A7EAE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AFF46C6"/>
    <w:multiLevelType w:val="multilevel"/>
    <w:tmpl w:val="E048DDA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B48250C"/>
    <w:multiLevelType w:val="multilevel"/>
    <w:tmpl w:val="12A6E1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717261D"/>
    <w:multiLevelType w:val="multilevel"/>
    <w:tmpl w:val="B3844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BB137E2"/>
    <w:multiLevelType w:val="multilevel"/>
    <w:tmpl w:val="20666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815F47"/>
    <w:multiLevelType w:val="multilevel"/>
    <w:tmpl w:val="C2E8F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14A01E9"/>
    <w:multiLevelType w:val="hybridMultilevel"/>
    <w:tmpl w:val="0F80E776"/>
    <w:lvl w:ilvl="0" w:tplc="49E8A112">
      <w:start w:val="4"/>
      <w:numFmt w:val="lowerLetter"/>
      <w:lvlText w:val="%1."/>
      <w:lvlJc w:val="left"/>
      <w:pPr>
        <w:tabs>
          <w:tab w:val="num" w:pos="720"/>
        </w:tabs>
        <w:ind w:left="720" w:hanging="360"/>
      </w:pPr>
    </w:lvl>
    <w:lvl w:ilvl="1" w:tplc="9856C2EC" w:tentative="1">
      <w:start w:val="1"/>
      <w:numFmt w:val="decimal"/>
      <w:lvlText w:val="%2."/>
      <w:lvlJc w:val="left"/>
      <w:pPr>
        <w:tabs>
          <w:tab w:val="num" w:pos="1440"/>
        </w:tabs>
        <w:ind w:left="1440" w:hanging="360"/>
      </w:pPr>
    </w:lvl>
    <w:lvl w:ilvl="2" w:tplc="69D481D0" w:tentative="1">
      <w:start w:val="1"/>
      <w:numFmt w:val="decimal"/>
      <w:lvlText w:val="%3."/>
      <w:lvlJc w:val="left"/>
      <w:pPr>
        <w:tabs>
          <w:tab w:val="num" w:pos="2160"/>
        </w:tabs>
        <w:ind w:left="2160" w:hanging="360"/>
      </w:pPr>
    </w:lvl>
    <w:lvl w:ilvl="3" w:tplc="74009AA8" w:tentative="1">
      <w:start w:val="1"/>
      <w:numFmt w:val="decimal"/>
      <w:lvlText w:val="%4."/>
      <w:lvlJc w:val="left"/>
      <w:pPr>
        <w:tabs>
          <w:tab w:val="num" w:pos="2880"/>
        </w:tabs>
        <w:ind w:left="2880" w:hanging="360"/>
      </w:pPr>
    </w:lvl>
    <w:lvl w:ilvl="4" w:tplc="C1BA80F8" w:tentative="1">
      <w:start w:val="1"/>
      <w:numFmt w:val="decimal"/>
      <w:lvlText w:val="%5."/>
      <w:lvlJc w:val="left"/>
      <w:pPr>
        <w:tabs>
          <w:tab w:val="num" w:pos="3600"/>
        </w:tabs>
        <w:ind w:left="3600" w:hanging="360"/>
      </w:pPr>
    </w:lvl>
    <w:lvl w:ilvl="5" w:tplc="2498431E" w:tentative="1">
      <w:start w:val="1"/>
      <w:numFmt w:val="decimal"/>
      <w:lvlText w:val="%6."/>
      <w:lvlJc w:val="left"/>
      <w:pPr>
        <w:tabs>
          <w:tab w:val="num" w:pos="4320"/>
        </w:tabs>
        <w:ind w:left="4320" w:hanging="360"/>
      </w:pPr>
    </w:lvl>
    <w:lvl w:ilvl="6" w:tplc="348E84B2" w:tentative="1">
      <w:start w:val="1"/>
      <w:numFmt w:val="decimal"/>
      <w:lvlText w:val="%7."/>
      <w:lvlJc w:val="left"/>
      <w:pPr>
        <w:tabs>
          <w:tab w:val="num" w:pos="5040"/>
        </w:tabs>
        <w:ind w:left="5040" w:hanging="360"/>
      </w:pPr>
    </w:lvl>
    <w:lvl w:ilvl="7" w:tplc="27FA0606" w:tentative="1">
      <w:start w:val="1"/>
      <w:numFmt w:val="decimal"/>
      <w:lvlText w:val="%8."/>
      <w:lvlJc w:val="left"/>
      <w:pPr>
        <w:tabs>
          <w:tab w:val="num" w:pos="5760"/>
        </w:tabs>
        <w:ind w:left="5760" w:hanging="360"/>
      </w:pPr>
    </w:lvl>
    <w:lvl w:ilvl="8" w:tplc="6F101072" w:tentative="1">
      <w:start w:val="1"/>
      <w:numFmt w:val="decimal"/>
      <w:lvlText w:val="%9."/>
      <w:lvlJc w:val="left"/>
      <w:pPr>
        <w:tabs>
          <w:tab w:val="num" w:pos="6480"/>
        </w:tabs>
        <w:ind w:left="6480" w:hanging="360"/>
      </w:pPr>
    </w:lvl>
  </w:abstractNum>
  <w:abstractNum w:abstractNumId="13" w15:restartNumberingAfterBreak="0">
    <w:nsid w:val="41EA74D3"/>
    <w:multiLevelType w:val="multilevel"/>
    <w:tmpl w:val="290C01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DF009B4"/>
    <w:multiLevelType w:val="multilevel"/>
    <w:tmpl w:val="E018727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E830958"/>
    <w:multiLevelType w:val="multilevel"/>
    <w:tmpl w:val="644401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9651BDC"/>
    <w:multiLevelType w:val="multilevel"/>
    <w:tmpl w:val="4AE80526"/>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9826CDC"/>
    <w:multiLevelType w:val="multilevel"/>
    <w:tmpl w:val="167AB3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88B4161"/>
    <w:multiLevelType w:val="multilevel"/>
    <w:tmpl w:val="D2D24AA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D980DF3"/>
    <w:multiLevelType w:val="multilevel"/>
    <w:tmpl w:val="C02CCF9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19"/>
  </w:num>
  <w:num w:numId="2">
    <w:abstractNumId w:val="10"/>
  </w:num>
  <w:num w:numId="3">
    <w:abstractNumId w:val="6"/>
  </w:num>
  <w:num w:numId="4">
    <w:abstractNumId w:val="18"/>
  </w:num>
  <w:num w:numId="5">
    <w:abstractNumId w:val="18"/>
    <w:lvlOverride w:ilvl="1">
      <w:lvl w:ilvl="1">
        <w:numFmt w:val="lowerLetter"/>
        <w:lvlText w:val="%2."/>
        <w:lvlJc w:val="left"/>
      </w:lvl>
    </w:lvlOverride>
  </w:num>
  <w:num w:numId="6">
    <w:abstractNumId w:val="8"/>
  </w:num>
  <w:num w:numId="7">
    <w:abstractNumId w:val="13"/>
  </w:num>
  <w:num w:numId="8">
    <w:abstractNumId w:val="0"/>
  </w:num>
  <w:num w:numId="9">
    <w:abstractNumId w:val="1"/>
  </w:num>
  <w:num w:numId="10">
    <w:abstractNumId w:val="4"/>
    <w:lvlOverride w:ilvl="0">
      <w:lvl w:ilvl="0">
        <w:numFmt w:val="lowerLetter"/>
        <w:lvlText w:val="%1."/>
        <w:lvlJc w:val="left"/>
      </w:lvl>
    </w:lvlOverride>
  </w:num>
  <w:num w:numId="11">
    <w:abstractNumId w:val="12"/>
  </w:num>
  <w:num w:numId="12">
    <w:abstractNumId w:val="12"/>
    <w:lvlOverride w:ilvl="0">
      <w:lvl w:ilvl="0" w:tplc="49E8A112">
        <w:numFmt w:val="lowerLetter"/>
        <w:lvlText w:val="%1."/>
        <w:lvlJc w:val="left"/>
      </w:lvl>
    </w:lvlOverride>
  </w:num>
  <w:num w:numId="13">
    <w:abstractNumId w:val="12"/>
    <w:lvlOverride w:ilvl="0">
      <w:lvl w:ilvl="0" w:tplc="49E8A112">
        <w:numFmt w:val="lowerLetter"/>
        <w:lvlText w:val="%1."/>
        <w:lvlJc w:val="left"/>
      </w:lvl>
    </w:lvlOverride>
  </w:num>
  <w:num w:numId="14">
    <w:abstractNumId w:val="12"/>
    <w:lvlOverride w:ilvl="0">
      <w:lvl w:ilvl="0" w:tplc="49E8A112">
        <w:numFmt w:val="lowerLetter"/>
        <w:lvlText w:val="%1."/>
        <w:lvlJc w:val="left"/>
      </w:lvl>
    </w:lvlOverride>
  </w:num>
  <w:num w:numId="15">
    <w:abstractNumId w:val="12"/>
    <w:lvlOverride w:ilvl="0">
      <w:lvl w:ilvl="0" w:tplc="49E8A112">
        <w:numFmt w:val="lowerLetter"/>
        <w:lvlText w:val="%1."/>
        <w:lvlJc w:val="left"/>
      </w:lvl>
    </w:lvlOverride>
  </w:num>
  <w:num w:numId="16">
    <w:abstractNumId w:val="3"/>
  </w:num>
  <w:num w:numId="17">
    <w:abstractNumId w:val="17"/>
  </w:num>
  <w:num w:numId="18">
    <w:abstractNumId w:val="7"/>
  </w:num>
  <w:num w:numId="19">
    <w:abstractNumId w:val="7"/>
    <w:lvlOverride w:ilvl="1">
      <w:lvl w:ilvl="1">
        <w:numFmt w:val="lowerLetter"/>
        <w:lvlText w:val="%2."/>
        <w:lvlJc w:val="left"/>
      </w:lvl>
    </w:lvlOverride>
  </w:num>
  <w:num w:numId="20">
    <w:abstractNumId w:val="5"/>
  </w:num>
  <w:num w:numId="21">
    <w:abstractNumId w:val="5"/>
    <w:lvlOverride w:ilvl="1">
      <w:lvl w:ilvl="1">
        <w:numFmt w:val="lowerLetter"/>
        <w:lvlText w:val="%2."/>
        <w:lvlJc w:val="left"/>
      </w:lvl>
    </w:lvlOverride>
  </w:num>
  <w:num w:numId="22">
    <w:abstractNumId w:val="14"/>
  </w:num>
  <w:num w:numId="23">
    <w:abstractNumId w:val="14"/>
    <w:lvlOverride w:ilvl="1">
      <w:lvl w:ilvl="1">
        <w:numFmt w:val="lowerLetter"/>
        <w:lvlText w:val="%2."/>
        <w:lvlJc w:val="left"/>
      </w:lvl>
    </w:lvlOverride>
  </w:num>
  <w:num w:numId="24">
    <w:abstractNumId w:val="16"/>
  </w:num>
  <w:num w:numId="25">
    <w:abstractNumId w:val="2"/>
  </w:num>
  <w:num w:numId="26">
    <w:abstractNumId w:val="2"/>
    <w:lvlOverride w:ilvl="1">
      <w:lvl w:ilvl="1">
        <w:numFmt w:val="lowerLetter"/>
        <w:lvlText w:val="%2."/>
        <w:lvlJc w:val="left"/>
      </w:lvl>
    </w:lvlOverride>
  </w:num>
  <w:num w:numId="27">
    <w:abstractNumId w:val="2"/>
    <w:lvlOverride w:ilvl="1">
      <w:lvl w:ilvl="1">
        <w:start w:val="1"/>
        <w:numFmt w:val="lowerLetter"/>
        <w:lvlText w:val="%2."/>
        <w:lvlJc w:val="left"/>
        <w:rPr>
          <w:rFonts w:asciiTheme="minorHAnsi" w:eastAsia="Times New Roman" w:hAnsiTheme="minorHAnsi" w:cstheme="minorHAnsi"/>
        </w:rPr>
      </w:lvl>
    </w:lvlOverride>
  </w:num>
  <w:num w:numId="28">
    <w:abstractNumId w:val="11"/>
  </w:num>
  <w:num w:numId="29">
    <w:abstractNumId w:val="9"/>
  </w:num>
  <w:num w:numId="30">
    <w:abstractNumId w:val="15"/>
    <w:lvlOverride w:ilvl="0">
      <w:lvl w:ilvl="0">
        <w:numFmt w:val="upperLetter"/>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04AE"/>
    <w:rsid w:val="00065891"/>
    <w:rsid w:val="000B6644"/>
    <w:rsid w:val="000C7025"/>
    <w:rsid w:val="00110B8A"/>
    <w:rsid w:val="002807FE"/>
    <w:rsid w:val="00443D0D"/>
    <w:rsid w:val="004838FA"/>
    <w:rsid w:val="005955AD"/>
    <w:rsid w:val="005E2059"/>
    <w:rsid w:val="006D273C"/>
    <w:rsid w:val="0070142B"/>
    <w:rsid w:val="00780DB6"/>
    <w:rsid w:val="007D791B"/>
    <w:rsid w:val="007E2122"/>
    <w:rsid w:val="008B4F1B"/>
    <w:rsid w:val="00911C64"/>
    <w:rsid w:val="00954D75"/>
    <w:rsid w:val="009619BE"/>
    <w:rsid w:val="00962A64"/>
    <w:rsid w:val="00A745EE"/>
    <w:rsid w:val="00AD7801"/>
    <w:rsid w:val="00B543FD"/>
    <w:rsid w:val="00B944B2"/>
    <w:rsid w:val="00BC5FCD"/>
    <w:rsid w:val="00C00361"/>
    <w:rsid w:val="00D459A3"/>
    <w:rsid w:val="00DC700A"/>
    <w:rsid w:val="00EA1418"/>
    <w:rsid w:val="00EE010B"/>
    <w:rsid w:val="00F01B9A"/>
    <w:rsid w:val="00F304AE"/>
    <w:rsid w:val="00F5110E"/>
    <w:rsid w:val="00F607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583BA2"/>
  <w15:docId w15:val="{78989046-D5AE-4684-BF2C-B36A272599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pPr>
      <w:keepNext/>
      <w:keepLines/>
      <w:spacing w:before="480" w:after="120"/>
      <w:outlineLvl w:val="0"/>
    </w:pPr>
    <w:rPr>
      <w:b/>
      <w:sz w:val="48"/>
      <w:szCs w:val="48"/>
    </w:rPr>
  </w:style>
  <w:style w:type="paragraph" w:styleId="Titre2">
    <w:name w:val="heading 2"/>
    <w:basedOn w:val="Normal"/>
    <w:next w:val="Normal"/>
    <w:pPr>
      <w:keepNext/>
      <w:keepLines/>
      <w:spacing w:before="360" w:after="80"/>
      <w:outlineLvl w:val="1"/>
    </w:pPr>
    <w:rPr>
      <w:b/>
      <w:sz w:val="36"/>
      <w:szCs w:val="36"/>
    </w:rPr>
  </w:style>
  <w:style w:type="paragraph" w:styleId="Titre3">
    <w:name w:val="heading 3"/>
    <w:basedOn w:val="Normal"/>
    <w:next w:val="Normal"/>
    <w:pPr>
      <w:keepNext/>
      <w:keepLines/>
      <w:spacing w:before="280" w:after="80"/>
      <w:outlineLvl w:val="2"/>
    </w:pPr>
    <w:rPr>
      <w:b/>
      <w:sz w:val="28"/>
      <w:szCs w:val="28"/>
    </w:rPr>
  </w:style>
  <w:style w:type="paragraph" w:styleId="Titre4">
    <w:name w:val="heading 4"/>
    <w:basedOn w:val="Normal"/>
    <w:next w:val="Normal"/>
    <w:pPr>
      <w:keepNext/>
      <w:keepLines/>
      <w:spacing w:before="240" w:after="40"/>
      <w:outlineLvl w:val="3"/>
    </w:pPr>
    <w:rPr>
      <w:b/>
      <w:sz w:val="24"/>
      <w:szCs w:val="24"/>
    </w:rPr>
  </w:style>
  <w:style w:type="paragraph" w:styleId="Titre5">
    <w:name w:val="heading 5"/>
    <w:basedOn w:val="Normal"/>
    <w:next w:val="Normal"/>
    <w:pPr>
      <w:keepNext/>
      <w:keepLines/>
      <w:spacing w:before="220" w:after="40"/>
      <w:outlineLvl w:val="4"/>
    </w:pPr>
    <w:rPr>
      <w:b/>
    </w:rPr>
  </w:style>
  <w:style w:type="paragraph" w:styleId="Titre6">
    <w:name w:val="heading 6"/>
    <w:basedOn w:val="Normal"/>
    <w:next w:val="Normal"/>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numbering" w:customStyle="1" w:styleId="Style1">
    <w:name w:val="Style1"/>
    <w:uiPriority w:val="99"/>
    <w:rsid w:val="00CD4E15"/>
  </w:style>
  <w:style w:type="paragraph" w:styleId="Notedebasdepage">
    <w:name w:val="footnote text"/>
    <w:basedOn w:val="Normal"/>
    <w:link w:val="NotedebasdepageCar"/>
    <w:uiPriority w:val="99"/>
    <w:semiHidden/>
    <w:unhideWhenUsed/>
    <w:rsid w:val="00543AF6"/>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543AF6"/>
    <w:rPr>
      <w:sz w:val="20"/>
      <w:szCs w:val="20"/>
    </w:rPr>
  </w:style>
  <w:style w:type="character" w:styleId="Appelnotedebasdep">
    <w:name w:val="footnote reference"/>
    <w:basedOn w:val="Policepardfaut"/>
    <w:uiPriority w:val="99"/>
    <w:semiHidden/>
    <w:unhideWhenUsed/>
    <w:rsid w:val="00543AF6"/>
    <w:rPr>
      <w:vertAlign w:val="superscript"/>
    </w:rPr>
  </w:style>
  <w:style w:type="paragraph" w:customStyle="1" w:styleId="Default">
    <w:name w:val="Default"/>
    <w:rsid w:val="0027790A"/>
    <w:pPr>
      <w:autoSpaceDE w:val="0"/>
      <w:autoSpaceDN w:val="0"/>
      <w:adjustRightInd w:val="0"/>
      <w:spacing w:after="0" w:line="240" w:lineRule="auto"/>
    </w:pPr>
    <w:rPr>
      <w:rFonts w:ascii="Times New Roman" w:hAnsi="Times New Roman" w:cs="Times New Roman"/>
      <w:color w:val="000000"/>
      <w:sz w:val="24"/>
      <w:szCs w:val="24"/>
    </w:rPr>
  </w:style>
  <w:style w:type="table" w:styleId="Grilledutableau">
    <w:name w:val="Table Grid"/>
    <w:basedOn w:val="TableauNormal"/>
    <w:uiPriority w:val="39"/>
    <w:rsid w:val="0027790A"/>
    <w:pPr>
      <w:spacing w:after="0" w:line="240" w:lineRule="auto"/>
    </w:pPr>
    <w:rPr>
      <w:rFonts w:ascii="Arial" w:eastAsiaTheme="minorEastAsia" w:hAnsi="Arial" w:cs="Arial"/>
      <w:lang w:val="en"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gende">
    <w:name w:val="caption"/>
    <w:basedOn w:val="Normal"/>
    <w:next w:val="Normal"/>
    <w:uiPriority w:val="35"/>
    <w:unhideWhenUsed/>
    <w:qFormat/>
    <w:rsid w:val="0027790A"/>
    <w:pPr>
      <w:spacing w:after="200" w:line="240" w:lineRule="auto"/>
    </w:pPr>
    <w:rPr>
      <w:rFonts w:ascii="Arial" w:eastAsiaTheme="minorEastAsia" w:hAnsi="Arial" w:cs="Arial"/>
      <w:i/>
      <w:iCs/>
      <w:color w:val="44546A" w:themeColor="text2"/>
      <w:sz w:val="18"/>
      <w:szCs w:val="18"/>
      <w:lang w:val="en" w:eastAsia="en-GB"/>
    </w:rPr>
  </w:style>
  <w:style w:type="character" w:styleId="Lienhypertexte">
    <w:name w:val="Hyperlink"/>
    <w:basedOn w:val="Policepardfaut"/>
    <w:uiPriority w:val="99"/>
    <w:unhideWhenUsed/>
    <w:rsid w:val="00F942C1"/>
    <w:rPr>
      <w:color w:val="0563C1" w:themeColor="hyperlink"/>
      <w:u w:val="single"/>
    </w:rPr>
  </w:style>
  <w:style w:type="paragraph" w:styleId="Sous-titr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0"/>
    <w:pPr>
      <w:spacing w:after="0" w:line="240" w:lineRule="auto"/>
    </w:pPr>
    <w:rPr>
      <w:rFonts w:ascii="Arial" w:eastAsia="Arial" w:hAnsi="Arial" w:cs="Arial"/>
    </w:rPr>
    <w:tblPr>
      <w:tblStyleRowBandSize w:val="1"/>
      <w:tblStyleColBandSize w:val="1"/>
      <w:tblCellMar>
        <w:top w:w="0" w:type="dxa"/>
        <w:left w:w="108" w:type="dxa"/>
        <w:bottom w:w="0" w:type="dxa"/>
        <w:right w:w="108" w:type="dxa"/>
      </w:tblCellMar>
    </w:tblPr>
  </w:style>
  <w:style w:type="table" w:customStyle="1" w:styleId="a0">
    <w:basedOn w:val="TableNormal0"/>
    <w:pPr>
      <w:spacing w:after="0" w:line="240" w:lineRule="auto"/>
    </w:pPr>
    <w:rPr>
      <w:rFonts w:ascii="Arial" w:eastAsia="Arial" w:hAnsi="Arial" w:cs="Arial"/>
    </w:rPr>
    <w:tblPr>
      <w:tblStyleRowBandSize w:val="1"/>
      <w:tblStyleColBandSize w:val="1"/>
      <w:tblCellMar>
        <w:top w:w="0" w:type="dxa"/>
        <w:left w:w="108" w:type="dxa"/>
        <w:bottom w:w="0" w:type="dxa"/>
        <w:right w:w="108" w:type="dxa"/>
      </w:tblCellMar>
    </w:tblPr>
  </w:style>
  <w:style w:type="paragraph" w:styleId="NormalWeb">
    <w:name w:val="Normal (Web)"/>
    <w:basedOn w:val="Normal"/>
    <w:uiPriority w:val="99"/>
    <w:semiHidden/>
    <w:unhideWhenUsed/>
    <w:rsid w:val="006D273C"/>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tab-span">
    <w:name w:val="apple-tab-span"/>
    <w:basedOn w:val="Policepardfaut"/>
    <w:rsid w:val="006D273C"/>
  </w:style>
  <w:style w:type="paragraph" w:styleId="Paragraphedeliste">
    <w:name w:val="List Paragraph"/>
    <w:basedOn w:val="Normal"/>
    <w:uiPriority w:val="34"/>
    <w:qFormat/>
    <w:rsid w:val="006D273C"/>
    <w:pPr>
      <w:ind w:left="720"/>
      <w:contextualSpacing/>
    </w:pPr>
  </w:style>
  <w:style w:type="character" w:styleId="Textedelespacerserv">
    <w:name w:val="Placeholder Text"/>
    <w:basedOn w:val="Policepardfaut"/>
    <w:uiPriority w:val="99"/>
    <w:semiHidden/>
    <w:rsid w:val="006D273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0460663">
      <w:bodyDiv w:val="1"/>
      <w:marLeft w:val="0"/>
      <w:marRight w:val="0"/>
      <w:marTop w:val="0"/>
      <w:marBottom w:val="0"/>
      <w:divBdr>
        <w:top w:val="none" w:sz="0" w:space="0" w:color="auto"/>
        <w:left w:val="none" w:sz="0" w:space="0" w:color="auto"/>
        <w:bottom w:val="none" w:sz="0" w:space="0" w:color="auto"/>
        <w:right w:val="none" w:sz="0" w:space="0" w:color="auto"/>
      </w:divBdr>
    </w:div>
    <w:div w:id="1997033868">
      <w:bodyDiv w:val="1"/>
      <w:marLeft w:val="0"/>
      <w:marRight w:val="0"/>
      <w:marTop w:val="0"/>
      <w:marBottom w:val="0"/>
      <w:divBdr>
        <w:top w:val="none" w:sz="0" w:space="0" w:color="auto"/>
        <w:left w:val="none" w:sz="0" w:space="0" w:color="auto"/>
        <w:bottom w:val="none" w:sz="0" w:space="0" w:color="auto"/>
        <w:right w:val="none" w:sz="0" w:space="0" w:color="auto"/>
      </w:divBdr>
    </w:div>
    <w:div w:id="20018072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_rels/footnotes.xml.rels><?xml version="1.0" encoding="UTF-8" standalone="yes"?>
<Relationships xmlns="http://schemas.openxmlformats.org/package/2006/relationships"><Relationship Id="rId3" Type="http://schemas.openxmlformats.org/officeDocument/2006/relationships/hyperlink" Target="https://www.nature.com/articles/s41558-024-01925-3" TargetMode="External"/><Relationship Id="rId2" Type="http://schemas.openxmlformats.org/officeDocument/2006/relationships/hyperlink" Target="https://doi.org/10.2139/ssrn.4448523" TargetMode="External"/><Relationship Id="rId1" Type="http://schemas.openxmlformats.org/officeDocument/2006/relationships/hyperlink" Target="https://www.taxobservatory.eu/publication/a-blueprint-for-a-coordinated-minimum-effective-taxation-standard-for-ultra-high-net-worth-individuals/" TargetMode="External"/><Relationship Id="rId4" Type="http://schemas.openxmlformats.org/officeDocument/2006/relationships/hyperlink" Target="https://doi.org/10.1093/isq/sqae105"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hg29j9SBlKWHN5SnBn30YtdkFg==">CgMxLjAyCGguZ2pkZ3hzOAByITE5OTgxcW9xeS14ZW9vcm84azc2TTBJMGlBR3ROMTNyZA==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1460</Words>
  <Characters>7963</Characters>
  <Application>Microsoft Office Word</Application>
  <DocSecurity>0</DocSecurity>
  <Lines>124</Lines>
  <Paragraphs>25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fabre</dc:creator>
  <cp:lastModifiedBy>fabre</cp:lastModifiedBy>
  <cp:revision>26</cp:revision>
  <dcterms:created xsi:type="dcterms:W3CDTF">2025-02-03T17:56:00Z</dcterms:created>
  <dcterms:modified xsi:type="dcterms:W3CDTF">2025-02-10T14:04:00Z</dcterms:modified>
</cp:coreProperties>
</file>