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proofErr w:type="gramStart"/>
      <w:r w:rsidRPr="00461A59">
        <w:rPr>
          <w:rFonts w:ascii="Arial" w:hAnsi="Arial" w:cs="Arial"/>
          <w:color w:val="222222"/>
        </w:rPr>
        <w:t>determined</w:t>
      </w:r>
      <w:proofErr w:type="gramEnd"/>
      <w:r w:rsidRPr="00461A59">
        <w:rPr>
          <w:rFonts w:ascii="Arial" w:hAnsi="Arial" w:cs="Arial"/>
          <w:color w:val="222222"/>
        </w:rPr>
        <w:t xml:space="preserve">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proofErr w:type="gramStart"/>
      <w:r w:rsidRPr="00184325">
        <w:rPr>
          <w:rFonts w:ascii="Arial" w:hAnsi="Arial" w:cs="Arial"/>
          <w:color w:val="222222"/>
        </w:rPr>
        <w:t>sources :</w:t>
      </w:r>
      <w:proofErr w:type="gramEnd"/>
      <w:r w:rsidRPr="00184325">
        <w:rPr>
          <w:rFonts w:ascii="Arial" w:hAnsi="Arial" w:cs="Arial"/>
          <w:color w:val="222222"/>
        </w:rPr>
        <w:t xml:space="preserve"> https://en.wikipedia.org/wiki/List_of_ZIP_Code_prefixes</w:t>
      </w:r>
    </w:p>
    <w:p w14:paraId="1EC4BB7B" w14:textId="660946A2" w:rsidR="00461A59" w:rsidRPr="00184325" w:rsidRDefault="00FE13E0"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r w:rsidR="00384434" w:rsidRPr="00384434">
        <w:rPr>
          <w:rFonts w:ascii="Arial" w:hAnsi="Arial" w:cs="Arial"/>
          <w:color w:val="222222"/>
        </w:rPr>
        <w:t>Hovedstaden</w:t>
      </w:r>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r w:rsidR="00384434" w:rsidRPr="00384434">
        <w:rPr>
          <w:rFonts w:ascii="Arial" w:hAnsi="Arial" w:cs="Arial"/>
          <w:i/>
          <w:iCs/>
          <w:color w:val="222222"/>
        </w:rPr>
        <w:t>Nordjylland</w:t>
      </w:r>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384434">
        <w:rPr>
          <w:rFonts w:ascii="Arial" w:hAnsi="Arial" w:cs="Arial"/>
          <w:i/>
          <w:iCs/>
          <w:color w:val="222222"/>
        </w:rPr>
        <w:t>Sjælland</w:t>
      </w:r>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r w:rsidR="00384434" w:rsidRPr="00384434">
        <w:rPr>
          <w:rFonts w:ascii="Arial" w:hAnsi="Arial" w:cs="Arial"/>
          <w:i/>
          <w:iCs/>
          <w:color w:val="222222"/>
        </w:rPr>
        <w:t>Syddanmark</w:t>
      </w:r>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proofErr w:type="gramStart"/>
      <w:r>
        <w:rPr>
          <w:rFonts w:ascii="Arial" w:hAnsi="Arial" w:cs="Arial"/>
          <w:color w:val="222222"/>
          <w:lang w:val="fr-FR"/>
        </w:rPr>
        <w:t>baseline</w:t>
      </w:r>
      <w:proofErr w:type="spellEnd"/>
      <w:proofErr w:type="gram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proofErr w:type="gramStart"/>
      <w:r>
        <w:rPr>
          <w:rFonts w:ascii="Calibri" w:hAnsi="Calibri" w:cs="Calibri"/>
          <w:color w:val="000000"/>
        </w:rPr>
        <w:t>determined</w:t>
      </w:r>
      <w:proofErr w:type="gramEnd"/>
      <w:r>
        <w:rPr>
          <w:rFonts w:ascii="Calibri" w:hAnsi="Calibri" w:cs="Calibri"/>
          <w:color w:val="000000"/>
        </w:rPr>
        <w:t xml:space="preserve">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proofErr w:type="gramStart"/>
      <w:r>
        <w:rPr>
          <w:rFonts w:ascii="Calibri" w:hAnsi="Calibri" w:cs="Calibri"/>
          <w:color w:val="000000"/>
        </w:rPr>
        <w:t>determined</w:t>
      </w:r>
      <w:proofErr w:type="gramEnd"/>
      <w:r>
        <w:rPr>
          <w:rFonts w:ascii="Calibri" w:hAnsi="Calibri" w:cs="Calibri"/>
          <w:color w:val="000000"/>
        </w:rPr>
        <w:t xml:space="preserve">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proofErr w:type="gramStart"/>
      <w:r w:rsidRPr="004820B2">
        <w:rPr>
          <w:rFonts w:ascii="Arial" w:hAnsi="Arial" w:cs="Arial"/>
          <w:color w:val="222222"/>
        </w:rPr>
        <w:t>baseline</w:t>
      </w:r>
      <w:proofErr w:type="gramEnd"/>
      <w:r w:rsidRPr="004820B2">
        <w:rPr>
          <w:rFonts w:ascii="Arial" w:hAnsi="Arial" w:cs="Arial"/>
          <w:color w:val="222222"/>
        </w:rPr>
        <w:t xml:space="preserv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proofErr w:type="gramStart"/>
      <w:r>
        <w:rPr>
          <w:rFonts w:ascii="Calibri" w:hAnsi="Calibri" w:cs="Calibri"/>
          <w:color w:val="000000"/>
        </w:rPr>
        <w:t>determined</w:t>
      </w:r>
      <w:proofErr w:type="gramEnd"/>
      <w:r>
        <w:rPr>
          <w:rFonts w:ascii="Calibri" w:hAnsi="Calibri" w:cs="Calibri"/>
          <w:color w:val="000000"/>
        </w:rPr>
        <w:t xml:space="preserve">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proofErr w:type="gramStart"/>
      <w:r w:rsidRPr="00205105">
        <w:rPr>
          <w:rFonts w:ascii="Arial" w:hAnsi="Arial" w:cs="Arial"/>
          <w:color w:val="222222"/>
        </w:rPr>
        <w:t>baseline</w:t>
      </w:r>
      <w:proofErr w:type="gramEnd"/>
      <w:r w:rsidRPr="00205105">
        <w:rPr>
          <w:rFonts w:ascii="Arial" w:hAnsi="Arial" w:cs="Arial"/>
          <w:color w:val="222222"/>
        </w:rPr>
        <w:t xml:space="preserve"> unit: </w:t>
      </w:r>
      <w:proofErr w:type="spellStart"/>
      <w:r w:rsidR="00836A1E" w:rsidRPr="00836A1E">
        <w:rPr>
          <w:rFonts w:ascii="Arial" w:hAnsi="Arial" w:cs="Arial"/>
          <w:color w:val="222222"/>
        </w:rPr>
        <w:t>Regiões</w:t>
      </w:r>
      <w:proofErr w:type="spellEnd"/>
    </w:p>
    <w:p w14:paraId="4AF86BD3" w14:textId="2D337F4B" w:rsidR="0066039A" w:rsidRPr="00205105" w:rsidRDefault="0066039A" w:rsidP="0066039A">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w:t>
      </w:r>
      <w:r w:rsidR="0059367A">
        <w:rPr>
          <w:rFonts w:ascii="Arial" w:hAnsi="Arial" w:cs="Arial"/>
          <w:color w:val="222222"/>
        </w:rPr>
        <w:t>TBD</w:t>
      </w:r>
    </w:p>
    <w:p w14:paraId="374D577E" w14:textId="33BEB11A" w:rsidR="0066039A" w:rsidRPr="00FE13E0" w:rsidRDefault="0066039A" w:rsidP="0066039A">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proofErr w:type="gramStart"/>
      <w:r w:rsidRPr="00205105">
        <w:rPr>
          <w:rFonts w:ascii="Arial" w:hAnsi="Arial" w:cs="Arial"/>
          <w:color w:val="222222"/>
        </w:rPr>
        <w:t>baseline</w:t>
      </w:r>
      <w:proofErr w:type="gramEnd"/>
      <w:r w:rsidRPr="00205105">
        <w:rPr>
          <w:rFonts w:ascii="Arial" w:hAnsi="Arial" w:cs="Arial"/>
          <w:color w:val="222222"/>
        </w:rPr>
        <w:t xml:space="preserv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 (FSA first characters)</w:t>
      </w:r>
    </w:p>
    <w:p w14:paraId="4C57FA83" w14:textId="624B2C7C" w:rsidR="004820B2" w:rsidRPr="00FE13E0" w:rsidRDefault="004820B2" w:rsidP="004820B2">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proofErr w:type="gramStart"/>
      <w:r w:rsidRPr="00205105">
        <w:rPr>
          <w:rFonts w:ascii="Arial" w:hAnsi="Arial" w:cs="Arial"/>
          <w:color w:val="222222"/>
        </w:rPr>
        <w:t>baseline</w:t>
      </w:r>
      <w:proofErr w:type="gramEnd"/>
      <w:r w:rsidRPr="00205105">
        <w:rPr>
          <w:rFonts w:ascii="Arial" w:hAnsi="Arial" w:cs="Arial"/>
          <w:color w:val="222222"/>
        </w:rPr>
        <w:t xml:space="preserv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lastRenderedPageBreak/>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C24DD7" w:rsidRDefault="00384434" w:rsidP="00384434">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https://www.destatis.de/EN/Themes/Society-Environment/Population/Current-Population/Tables/population-by-laender.html</w:t>
      </w:r>
      <w:r w:rsidRPr="00C24DD7">
        <w:rPr>
          <w:rFonts w:ascii="Calibri" w:hAnsi="Calibri" w:cs="Calibri"/>
          <w:color w:val="000000"/>
          <w:lang w:val="fr-CH"/>
        </w:rPr>
        <w:t xml:space="preserve"> </w:t>
      </w:r>
    </w:p>
    <w:p w14:paraId="21FEC3A3" w14:textId="77777777" w:rsidR="004451F1" w:rsidRPr="00C24DD7" w:rsidRDefault="004451F1" w:rsidP="00384434">
      <w:pPr>
        <w:rPr>
          <w:rFonts w:ascii="Calibri" w:hAnsi="Calibri" w:cs="Calibri"/>
          <w:color w:val="000000"/>
          <w:lang w:val="fr-CH"/>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Southern</w:t>
      </w:r>
      <w:proofErr w:type="spellEnd"/>
      <w:r>
        <w:rPr>
          <w:rFonts w:ascii="Arial" w:hAnsi="Arial" w:cs="Arial"/>
          <w:i/>
          <w:iCs/>
          <w:color w:val="222222"/>
          <w:lang w:val="fr-FR"/>
        </w:rPr>
        <w:t xml:space="preserve"> Zonal Council</w:t>
      </w:r>
    </w:p>
    <w:p w14:paraId="4B99D8B2" w14:textId="77777777" w:rsidR="004451F1" w:rsidRPr="00954682" w:rsidRDefault="004451F1" w:rsidP="004451F1">
      <w:pPr>
        <w:rPr>
          <w:rFonts w:ascii="Calibri" w:hAnsi="Calibri" w:cs="Calibri"/>
          <w:i/>
          <w:iCs/>
          <w:color w:val="000000"/>
          <w:lang w:val="fr-FR"/>
        </w:rPr>
      </w:pPr>
      <w:r>
        <w:rPr>
          <w:rFonts w:ascii="Arial" w:hAnsi="Arial" w:cs="Arial"/>
          <w:color w:val="222222"/>
        </w:rPr>
        <w:t xml:space="preserve">- Region 3: </w:t>
      </w:r>
      <w:r>
        <w:rPr>
          <w:rFonts w:ascii="Arial" w:hAnsi="Arial" w:cs="Arial"/>
          <w:i/>
          <w:iCs/>
          <w:color w:val="222222"/>
          <w:lang w:val="fr-FR"/>
        </w:rPr>
        <w:t>Central Zonal Council</w:t>
      </w:r>
    </w:p>
    <w:p w14:paraId="681AF163" w14:textId="77777777" w:rsidR="004451F1" w:rsidRDefault="004451F1" w:rsidP="004451F1">
      <w:pPr>
        <w:rPr>
          <w:rFonts w:ascii="Arial" w:hAnsi="Arial" w:cs="Arial"/>
          <w:color w:val="222222"/>
          <w:lang w:val="fr-FR"/>
        </w:rPr>
      </w:pPr>
      <w:r>
        <w:rPr>
          <w:rFonts w:ascii="Arial" w:hAnsi="Arial" w:cs="Arial"/>
          <w:color w:val="222222"/>
        </w:rPr>
        <w:t xml:space="preserve">- Region 4: </w:t>
      </w:r>
      <w:proofErr w:type="spellStart"/>
      <w:r>
        <w:rPr>
          <w:rFonts w:ascii="Arial" w:hAnsi="Arial" w:cs="Arial"/>
          <w:i/>
          <w:iCs/>
          <w:color w:val="222222"/>
          <w:lang w:val="fr-FR"/>
        </w:rPr>
        <w:t>Eastern</w:t>
      </w:r>
      <w:proofErr w:type="spellEnd"/>
      <w:r>
        <w:rPr>
          <w:rFonts w:ascii="Arial" w:hAnsi="Arial" w:cs="Arial"/>
          <w:i/>
          <w:iCs/>
          <w:color w:val="222222"/>
          <w:lang w:val="fr-FR"/>
        </w:rPr>
        <w:t xml:space="preserve"> Zonal Council</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6083A4C" w14:textId="77777777" w:rsidR="004451F1" w:rsidRPr="00954682" w:rsidRDefault="004451F1" w:rsidP="004451F1">
      <w:pPr>
        <w:rPr>
          <w:rFonts w:ascii="Calibri" w:hAnsi="Calibri" w:cs="Calibri"/>
          <w:color w:val="000000"/>
        </w:rPr>
      </w:pPr>
      <w:r w:rsidRPr="00954682">
        <w:rPr>
          <w:rFonts w:ascii="Arial" w:hAnsi="Arial" w:cs="Arial"/>
          <w:color w:val="222222"/>
        </w:rPr>
        <w:t>- Region 6</w:t>
      </w:r>
      <w:r>
        <w:rPr>
          <w:rFonts w:ascii="Arial" w:hAnsi="Arial" w:cs="Arial"/>
          <w:color w:val="222222"/>
        </w:rPr>
        <w:t xml:space="preserve">: </w:t>
      </w:r>
      <w:r>
        <w:rPr>
          <w:rFonts w:ascii="Arial" w:hAnsi="Arial" w:cs="Arial"/>
          <w:i/>
          <w:iCs/>
          <w:color w:val="222222"/>
        </w:rPr>
        <w:t>Other (North Eastern)</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proofErr w:type="gramStart"/>
      <w:r w:rsidRPr="00FE13E0">
        <w:rPr>
          <w:rFonts w:ascii="Arial" w:hAnsi="Arial" w:cs="Arial"/>
          <w:color w:val="222222"/>
        </w:rPr>
        <w:t>baseline</w:t>
      </w:r>
      <w:proofErr w:type="gramEnd"/>
      <w:r w:rsidRPr="00FE13E0">
        <w:rPr>
          <w:rFonts w:ascii="Arial" w:hAnsi="Arial" w:cs="Arial"/>
          <w:color w:val="222222"/>
        </w:rPr>
        <w:t xml:space="preserve"> unit: Zonal Council</w:t>
      </w:r>
    </w:p>
    <w:p w14:paraId="785AC80E" w14:textId="50E2D20C" w:rsidR="00203E0B" w:rsidRPr="00203E0B" w:rsidRDefault="00203E0B" w:rsidP="004451F1">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w:t>
      </w:r>
      <w:r w:rsidR="006F6845">
        <w:rPr>
          <w:rFonts w:ascii="Arial" w:hAnsi="Arial" w:cs="Arial"/>
          <w:color w:val="222222"/>
        </w:rPr>
        <w:t xml:space="preserve"> (See with translator if better to ask States than Zonal Council)</w:t>
      </w:r>
    </w:p>
    <w:p w14:paraId="2C936596" w14:textId="77777777" w:rsidR="004451F1" w:rsidRPr="00FE13E0" w:rsidRDefault="004451F1" w:rsidP="004451F1">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https://statisticstimes.com/demographics/india/indian-states-population.php</w:t>
      </w:r>
    </w:p>
    <w:p w14:paraId="2DACF838" w14:textId="77777777" w:rsidR="004451F1" w:rsidRPr="00FE13E0" w:rsidRDefault="004451F1" w:rsidP="004451F1">
      <w:pPr>
        <w:rPr>
          <w:rFonts w:ascii="Calibri" w:hAnsi="Calibri" w:cs="Calibri"/>
          <w:color w:val="000000"/>
          <w:lang w:val="fr-CH"/>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proofErr w:type="gramStart"/>
      <w:r w:rsidRPr="006E1FA7">
        <w:rPr>
          <w:rFonts w:ascii="Arial" w:hAnsi="Arial" w:cs="Arial"/>
          <w:color w:val="222222"/>
        </w:rPr>
        <w:t>baseline</w:t>
      </w:r>
      <w:proofErr w:type="gramEnd"/>
      <w:r w:rsidRPr="006E1FA7">
        <w:rPr>
          <w:rFonts w:ascii="Arial" w:hAnsi="Arial" w:cs="Arial"/>
          <w:color w:val="222222"/>
        </w:rPr>
        <w:t xml:space="preserve"> unit: Provinces</w:t>
      </w:r>
    </w:p>
    <w:p w14:paraId="4CADDC29" w14:textId="33DCD6D3" w:rsidR="00203E0B" w:rsidRPr="006E1FA7" w:rsidRDefault="00203E0B" w:rsidP="004451F1">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377773EA" w14:textId="77777777" w:rsidR="004451F1" w:rsidRPr="00FE13E0" w:rsidRDefault="004451F1" w:rsidP="004451F1">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proofErr w:type="gramStart"/>
      <w:r>
        <w:rPr>
          <w:rFonts w:ascii="Arial" w:hAnsi="Arial" w:cs="Arial"/>
          <w:color w:val="222222"/>
        </w:rPr>
        <w:lastRenderedPageBreak/>
        <w:t>determined</w:t>
      </w:r>
      <w:proofErr w:type="gramEnd"/>
      <w:r>
        <w:rPr>
          <w:rFonts w:ascii="Arial" w:hAnsi="Arial" w:cs="Arial"/>
          <w:color w:val="222222"/>
        </w:rPr>
        <w:t xml:space="preserve">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proofErr w:type="gramStart"/>
      <w:r w:rsidRPr="00E31D1C">
        <w:rPr>
          <w:rFonts w:ascii="Arial" w:hAnsi="Arial" w:cs="Arial"/>
          <w:color w:val="222222"/>
        </w:rPr>
        <w:t>baseline</w:t>
      </w:r>
      <w:proofErr w:type="gramEnd"/>
      <w:r w:rsidRPr="00E31D1C">
        <w:rPr>
          <w:rFonts w:ascii="Arial" w:hAnsi="Arial" w:cs="Arial"/>
          <w:color w:val="222222"/>
        </w:rPr>
        <w:t xml:space="preserv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043F5F69" w14:textId="0498F3B0" w:rsidR="000721C6" w:rsidRPr="00FE13E0" w:rsidRDefault="007E5186" w:rsidP="00596512">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w:t>
      </w:r>
      <w:proofErr w:type="spellStart"/>
      <w:r w:rsidRPr="00FE13E0">
        <w:rPr>
          <w:rFonts w:ascii="Arial" w:hAnsi="Arial" w:cs="Arial"/>
          <w:color w:val="222222"/>
          <w:lang w:val="es-CO"/>
        </w:rPr>
        <w:t>Region</w:t>
      </w:r>
      <w:proofErr w:type="spellEnd"/>
      <w:r w:rsidRPr="00FE13E0">
        <w:rPr>
          <w:rFonts w:ascii="Arial" w:hAnsi="Arial" w:cs="Arial"/>
          <w:color w:val="222222"/>
          <w:lang w:val="es-CO"/>
        </w:rPr>
        <w:t xml:space="preserve"> 2: </w:t>
      </w:r>
      <w:r w:rsidRPr="00C24DD7">
        <w:rPr>
          <w:rFonts w:ascii="Arial" w:hAnsi="Arial" w:cs="Arial"/>
          <w:color w:val="222222"/>
          <w:lang w:val="es-CO"/>
        </w:rPr>
        <w:t xml:space="preserve">(Central-Eastern) </w:t>
      </w:r>
      <w:r w:rsidRPr="00C24DD7">
        <w:rPr>
          <w:rFonts w:ascii="Arial" w:hAnsi="Arial" w:cs="Arial"/>
          <w:i/>
          <w:iCs/>
          <w:color w:val="222222"/>
          <w:lang w:val="es-CO"/>
        </w:rPr>
        <w:t xml:space="preserve">Federal </w:t>
      </w:r>
      <w:proofErr w:type="spellStart"/>
      <w:r w:rsidRPr="00C24DD7">
        <w:rPr>
          <w:rFonts w:ascii="Arial" w:hAnsi="Arial" w:cs="Arial"/>
          <w:i/>
          <w:iCs/>
          <w:color w:val="222222"/>
          <w:lang w:val="es-CO"/>
        </w:rPr>
        <w:t>District</w:t>
      </w:r>
      <w:proofErr w:type="spellEnd"/>
      <w:r w:rsidRPr="00C24DD7">
        <w:rPr>
          <w:rFonts w:ascii="Arial" w:hAnsi="Arial" w:cs="Arial"/>
          <w:i/>
          <w:iCs/>
          <w:color w:val="222222"/>
          <w:lang w:val="es-CO"/>
        </w:rPr>
        <w:t xml:space="preserve">; Hidalgo; </w:t>
      </w:r>
      <w:proofErr w:type="spellStart"/>
      <w:r w:rsidRPr="00C24DD7">
        <w:rPr>
          <w:rFonts w:ascii="Arial" w:hAnsi="Arial" w:cs="Arial"/>
          <w:i/>
          <w:iCs/>
          <w:color w:val="222222"/>
          <w:lang w:val="es-CO"/>
        </w:rPr>
        <w:t>Mexico</w:t>
      </w:r>
      <w:proofErr w:type="spellEnd"/>
      <w:r w:rsidRPr="00C24DD7">
        <w:rPr>
          <w:rFonts w:ascii="Arial" w:hAnsi="Arial" w:cs="Arial"/>
          <w:i/>
          <w:iCs/>
          <w:color w:val="222222"/>
          <w:lang w:val="es-CO"/>
        </w:rPr>
        <w:t xml:space="preserve">; Morelos; Puebla; </w:t>
      </w:r>
      <w:proofErr w:type="spellStart"/>
      <w:r w:rsidRPr="00C24DD7">
        <w:rPr>
          <w:rFonts w:ascii="Arial" w:hAnsi="Arial" w:cs="Arial"/>
          <w:i/>
          <w:iCs/>
          <w:color w:val="222222"/>
          <w:lang w:val="es-CO"/>
        </w:rPr>
        <w:t>Queretaro</w:t>
      </w:r>
      <w:proofErr w:type="spellEnd"/>
      <w:r w:rsidRPr="00C24DD7">
        <w:rPr>
          <w:rFonts w:ascii="Arial" w:hAnsi="Arial" w:cs="Arial"/>
          <w:i/>
          <w:iCs/>
          <w:color w:val="222222"/>
          <w:lang w:val="es-CO"/>
        </w:rPr>
        <w:t>; Tlaxcala,</w:t>
      </w:r>
    </w:p>
    <w:p w14:paraId="594D7D02" w14:textId="7F75354F" w:rsidR="005E143F" w:rsidRDefault="005E143F" w:rsidP="005E143F">
      <w:pPr>
        <w:rPr>
          <w:rFonts w:ascii="Arial" w:hAnsi="Arial" w:cs="Arial"/>
          <w:color w:val="222222"/>
        </w:rPr>
      </w:pPr>
      <w:r>
        <w:rPr>
          <w:rFonts w:ascii="Arial" w:hAnsi="Arial" w:cs="Arial"/>
          <w:color w:val="222222"/>
        </w:rPr>
        <w:t>- Region 3: (</w:t>
      </w:r>
      <w:proofErr w:type="gramStart"/>
      <w:r w:rsidRPr="005E143F">
        <w:rPr>
          <w:rFonts w:ascii="Arial" w:hAnsi="Arial" w:cs="Arial"/>
          <w:color w:val="222222"/>
        </w:rPr>
        <w:t>North-East</w:t>
      </w:r>
      <w:proofErr w:type="gramEnd"/>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Varacruz</w:t>
      </w:r>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proofErr w:type="gramStart"/>
      <w:r w:rsidRPr="00E31D1C">
        <w:rPr>
          <w:rFonts w:ascii="Arial" w:hAnsi="Arial" w:cs="Arial"/>
          <w:color w:val="222222"/>
        </w:rPr>
        <w:t>baseline</w:t>
      </w:r>
      <w:proofErr w:type="gramEnd"/>
      <w:r w:rsidRPr="00E31D1C">
        <w:rPr>
          <w:rFonts w:ascii="Arial" w:hAnsi="Arial" w:cs="Arial"/>
          <w:color w:val="222222"/>
        </w:rPr>
        <w:t xml:space="preserve"> unit: </w:t>
      </w:r>
      <w:r>
        <w:rPr>
          <w:rFonts w:ascii="Arial" w:hAnsi="Arial" w:cs="Arial"/>
          <w:color w:val="222222"/>
        </w:rPr>
        <w:t>States</w:t>
      </w:r>
    </w:p>
    <w:p w14:paraId="073EBC6E" w14:textId="7D40C342" w:rsidR="005E143F" w:rsidRPr="00203E0B" w:rsidRDefault="005E143F" w:rsidP="005E143F">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TBD</w:t>
      </w:r>
    </w:p>
    <w:p w14:paraId="2F0B0425" w14:textId="1AF0AB63" w:rsidR="005E143F" w:rsidRPr="00FE13E0" w:rsidRDefault="005E143F" w:rsidP="00596512">
      <w:pPr>
        <w:rPr>
          <w:rFonts w:ascii="Arial" w:hAnsi="Arial" w:cs="Arial"/>
          <w:color w:val="222222"/>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 (first number)</w:t>
      </w:r>
    </w:p>
    <w:p w14:paraId="01B93719" w14:textId="7F12EF1A" w:rsidR="000721C6" w:rsidRPr="00FE13E0" w:rsidRDefault="000721C6" w:rsidP="000721C6">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lastRenderedPageBreak/>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proofErr w:type="gramStart"/>
      <w:r w:rsidRPr="00963122">
        <w:rPr>
          <w:rFonts w:ascii="Arial" w:hAnsi="Arial" w:cs="Arial"/>
          <w:color w:val="222222"/>
        </w:rPr>
        <w:t>baseline</w:t>
      </w:r>
      <w:proofErr w:type="gramEnd"/>
      <w:r w:rsidRPr="00963122">
        <w:rPr>
          <w:rFonts w:ascii="Arial" w:hAnsi="Arial" w:cs="Arial"/>
          <w:color w:val="222222"/>
        </w:rPr>
        <w:t xml:space="preserve"> unit: Provinces</w:t>
      </w:r>
    </w:p>
    <w:p w14:paraId="51424286" w14:textId="4D8D1A9C" w:rsidR="00335210" w:rsidRPr="00963122" w:rsidRDefault="00335210" w:rsidP="003E63AD">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49ADCBD2" w14:textId="77777777" w:rsidR="003E63AD" w:rsidRPr="00FE13E0" w:rsidRDefault="003E63AD" w:rsidP="003E63AD">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North Jeolla; South Jeolla; Gwanggju; Jeju</w:t>
      </w:r>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South Gyeongsang; North Gyeongsang;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proofErr w:type="gramStart"/>
      <w:r w:rsidRPr="00963122">
        <w:rPr>
          <w:rFonts w:ascii="Arial" w:hAnsi="Arial" w:cs="Arial"/>
          <w:color w:val="222222"/>
        </w:rPr>
        <w:t>baseline</w:t>
      </w:r>
      <w:proofErr w:type="gramEnd"/>
      <w:r w:rsidRPr="00963122">
        <w:rPr>
          <w:rFonts w:ascii="Arial" w:hAnsi="Arial" w:cs="Arial"/>
          <w:color w:val="222222"/>
        </w:rPr>
        <w:t xml:space="preserve"> unit: Provinces</w:t>
      </w:r>
    </w:p>
    <w:p w14:paraId="214CE074" w14:textId="19F1C5EC" w:rsidR="00EB595A" w:rsidRPr="00963122" w:rsidRDefault="00EB595A" w:rsidP="00EB595A">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TBD</w:t>
      </w:r>
    </w:p>
    <w:p w14:paraId="3061AEBD" w14:textId="2E79528A" w:rsidR="00EB595A" w:rsidRPr="00FE13E0" w:rsidRDefault="00EB595A" w:rsidP="00EB595A">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xml:space="preserve">- </w:t>
      </w:r>
      <w:proofErr w:type="spellStart"/>
      <w:r w:rsidRPr="00FE13E0">
        <w:rPr>
          <w:rFonts w:ascii="Arial" w:hAnsi="Arial" w:cs="Arial"/>
          <w:color w:val="222222"/>
          <w:lang w:val="es-CO"/>
        </w:rPr>
        <w:t>Region</w:t>
      </w:r>
      <w:proofErr w:type="spellEnd"/>
      <w:r w:rsidRPr="00FE13E0">
        <w:rPr>
          <w:rFonts w:ascii="Arial" w:hAnsi="Arial" w:cs="Arial"/>
          <w:color w:val="222222"/>
          <w:lang w:val="es-CO"/>
        </w:rPr>
        <w:t xml:space="preserve">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xml:space="preserve">- </w:t>
      </w:r>
      <w:proofErr w:type="spellStart"/>
      <w:r w:rsidRPr="00461A59">
        <w:rPr>
          <w:rFonts w:ascii="Arial" w:hAnsi="Arial" w:cs="Arial"/>
          <w:color w:val="222222"/>
          <w:lang w:val="es-CO"/>
        </w:rPr>
        <w:t>Region</w:t>
      </w:r>
      <w:proofErr w:type="spellEnd"/>
      <w:r w:rsidRPr="00461A59">
        <w:rPr>
          <w:rFonts w:ascii="Arial" w:hAnsi="Arial" w:cs="Arial"/>
          <w:color w:val="222222"/>
          <w:lang w:val="es-CO"/>
        </w:rPr>
        <w:t xml:space="preserve">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xml:space="preserve">- </w:t>
      </w:r>
      <w:proofErr w:type="spellStart"/>
      <w:r w:rsidRPr="00FE13E0">
        <w:rPr>
          <w:rFonts w:ascii="Arial" w:hAnsi="Arial" w:cs="Arial"/>
          <w:color w:val="222222"/>
          <w:lang w:val="es-CO"/>
        </w:rPr>
        <w:t>Region</w:t>
      </w:r>
      <w:proofErr w:type="spellEnd"/>
      <w:r w:rsidRPr="00FE13E0">
        <w:rPr>
          <w:rFonts w:ascii="Arial" w:hAnsi="Arial" w:cs="Arial"/>
          <w:color w:val="222222"/>
          <w:lang w:val="es-CO"/>
        </w:rPr>
        <w:t xml:space="preserve">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xml:space="preserve">- </w:t>
      </w:r>
      <w:proofErr w:type="spellStart"/>
      <w:r w:rsidRPr="00FE13E0">
        <w:rPr>
          <w:rFonts w:ascii="Arial" w:hAnsi="Arial" w:cs="Arial"/>
          <w:color w:val="222222"/>
          <w:lang w:val="es-CO"/>
        </w:rPr>
        <w:t>Region</w:t>
      </w:r>
      <w:proofErr w:type="spellEnd"/>
      <w:r w:rsidRPr="00FE13E0">
        <w:rPr>
          <w:rFonts w:ascii="Arial" w:hAnsi="Arial" w:cs="Arial"/>
          <w:color w:val="222222"/>
          <w:lang w:val="es-CO"/>
        </w:rPr>
        <w:t xml:space="preserve">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xml:space="preserve">- </w:t>
      </w:r>
      <w:proofErr w:type="spellStart"/>
      <w:r w:rsidRPr="00FE13E0">
        <w:rPr>
          <w:rFonts w:ascii="Arial" w:hAnsi="Arial" w:cs="Arial"/>
          <w:color w:val="222222"/>
          <w:lang w:val="es-CO"/>
        </w:rPr>
        <w:t>Region</w:t>
      </w:r>
      <w:proofErr w:type="spellEnd"/>
      <w:r w:rsidRPr="00FE13E0">
        <w:rPr>
          <w:rFonts w:ascii="Arial" w:hAnsi="Arial" w:cs="Arial"/>
          <w:color w:val="222222"/>
          <w:lang w:val="es-CO"/>
        </w:rPr>
        <w:t xml:space="preserve">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proofErr w:type="gramStart"/>
      <w:r w:rsidRPr="00E31D1C">
        <w:rPr>
          <w:rFonts w:ascii="Arial" w:hAnsi="Arial" w:cs="Arial"/>
          <w:color w:val="222222"/>
        </w:rPr>
        <w:t>baseline</w:t>
      </w:r>
      <w:proofErr w:type="gramEnd"/>
      <w:r w:rsidRPr="00E31D1C">
        <w:rPr>
          <w:rFonts w:ascii="Arial" w:hAnsi="Arial" w:cs="Arial"/>
          <w:color w:val="222222"/>
        </w:rPr>
        <w:t xml:space="preserve"> unit: Autonomous communities and Cities</w:t>
      </w:r>
    </w:p>
    <w:p w14:paraId="60532622" w14:textId="7A2F1A35" w:rsidR="00180BFD" w:rsidRPr="00180BFD" w:rsidRDefault="00180BFD" w:rsidP="00596512">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220529B4" w14:textId="1F920CDB" w:rsidR="0078694C" w:rsidRPr="00FE13E0" w:rsidRDefault="00772EBA" w:rsidP="00596512">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proofErr w:type="gramStart"/>
      <w:r w:rsidRPr="00E31D1C">
        <w:rPr>
          <w:rFonts w:ascii="Arial" w:hAnsi="Arial" w:cs="Arial"/>
          <w:color w:val="222222"/>
        </w:rPr>
        <w:t>baseline</w:t>
      </w:r>
      <w:proofErr w:type="gramEnd"/>
      <w:r w:rsidRPr="00E31D1C">
        <w:rPr>
          <w:rFonts w:ascii="Arial" w:hAnsi="Arial" w:cs="Arial"/>
          <w:color w:val="222222"/>
        </w:rPr>
        <w:t xml:space="preserve"> unit: </w:t>
      </w:r>
      <w:r>
        <w:rPr>
          <w:rFonts w:ascii="Arial" w:hAnsi="Arial" w:cs="Arial"/>
          <w:color w:val="222222"/>
        </w:rPr>
        <w:t>Regions</w:t>
      </w:r>
    </w:p>
    <w:p w14:paraId="51A183C0" w14:textId="75A6BB12" w:rsidR="00211140" w:rsidRPr="00180BFD" w:rsidRDefault="00211140" w:rsidP="00211140">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TBD</w:t>
      </w:r>
    </w:p>
    <w:p w14:paraId="3C483278" w14:textId="486135A0" w:rsidR="00211140" w:rsidRPr="00FE13E0" w:rsidRDefault="00211140" w:rsidP="00211140">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https://www.icisleri.gov.tr/turkiyenin-nufus-haritasi</w:t>
      </w:r>
    </w:p>
    <w:p w14:paraId="54D56B72" w14:textId="1A87DD8B" w:rsidR="00211140" w:rsidRPr="00FE13E0" w:rsidRDefault="00211140" w:rsidP="00596512">
      <w:pPr>
        <w:rPr>
          <w:rFonts w:ascii="Arial" w:hAnsi="Arial" w:cs="Arial"/>
          <w:color w:val="222222"/>
          <w:lang w:val="fr-CH"/>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lastRenderedPageBreak/>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Cherkasy; Kirovohrad; Kyiv; Vinnytsya;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t>- Region 3: (</w:t>
      </w:r>
      <w:r w:rsidR="002F3FCC" w:rsidRPr="00C24DD7">
        <w:rPr>
          <w:rFonts w:ascii="Arial" w:hAnsi="Arial" w:cs="Arial"/>
          <w:color w:val="222222"/>
        </w:rPr>
        <w:t xml:space="preserve">East) </w:t>
      </w:r>
      <w:r w:rsidR="002F3FCC" w:rsidRPr="002F3FCC">
        <w:rPr>
          <w:rFonts w:ascii="Arial" w:hAnsi="Arial" w:cs="Arial"/>
          <w:i/>
          <w:iCs/>
          <w:color w:val="222222"/>
        </w:rPr>
        <w:t>Donetsk; Kharkiv;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Dnipropetrovsk; Kherson; Mykolayiv; Odesa; Zaporizhzhya</w:t>
      </w:r>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Chernivtsi; Ivano-Frankivsk; Khmelnytski; Lviv; Rivne; Ternopil; Volyn; Zakarpattya</w:t>
      </w:r>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proofErr w:type="gramStart"/>
      <w:r w:rsidRPr="00BC3FFD">
        <w:rPr>
          <w:rFonts w:ascii="Arial" w:hAnsi="Arial" w:cs="Arial"/>
          <w:color w:val="222222"/>
        </w:rPr>
        <w:t>baseline</w:t>
      </w:r>
      <w:proofErr w:type="gramEnd"/>
      <w:r w:rsidRPr="00BC3FFD">
        <w:rPr>
          <w:rFonts w:ascii="Arial" w:hAnsi="Arial" w:cs="Arial"/>
          <w:color w:val="222222"/>
        </w:rPr>
        <w:t xml:space="preserve"> unit: </w:t>
      </w:r>
      <w:r w:rsidR="007A0BAD">
        <w:rPr>
          <w:rFonts w:ascii="Arial" w:hAnsi="Arial" w:cs="Arial"/>
          <w:color w:val="222222"/>
        </w:rPr>
        <w:t>Oblast</w:t>
      </w:r>
    </w:p>
    <w:p w14:paraId="2685F0D5" w14:textId="11A72FBB" w:rsidR="00FC7738" w:rsidRPr="00BC3FFD" w:rsidRDefault="00FC7738" w:rsidP="00FC7738">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w:t>
      </w:r>
      <w:r w:rsidR="002F3FCC">
        <w:rPr>
          <w:rFonts w:ascii="Arial" w:hAnsi="Arial" w:cs="Arial"/>
          <w:color w:val="222222"/>
        </w:rPr>
        <w:t>TBD</w:t>
      </w:r>
    </w:p>
    <w:p w14:paraId="7B74D6CB" w14:textId="14147EA2" w:rsidR="00FC7738" w:rsidRPr="00FE13E0" w:rsidRDefault="00FC7738" w:rsidP="00FC7738">
      <w:pPr>
        <w:rPr>
          <w:rFonts w:ascii="Calibri" w:hAnsi="Calibri" w:cs="Calibri"/>
          <w:color w:val="000000"/>
          <w:sz w:val="22"/>
          <w:szCs w:val="22"/>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proofErr w:type="gramStart"/>
      <w:r w:rsidRPr="00BC3FFD">
        <w:rPr>
          <w:rFonts w:ascii="Arial" w:hAnsi="Arial" w:cs="Arial"/>
          <w:color w:val="222222"/>
        </w:rPr>
        <w:t>baseline</w:t>
      </w:r>
      <w:proofErr w:type="gramEnd"/>
      <w:r w:rsidRPr="00BC3FFD">
        <w:rPr>
          <w:rFonts w:ascii="Arial" w:hAnsi="Arial" w:cs="Arial"/>
          <w:color w:val="222222"/>
        </w:rPr>
        <w:t xml:space="preserv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w:t>
      </w:r>
      <w:proofErr w:type="gramStart"/>
      <w:r w:rsidRPr="001656D8">
        <w:rPr>
          <w:rFonts w:ascii="Arial" w:hAnsi="Arial" w:cs="Arial"/>
          <w:color w:val="222222"/>
        </w:rPr>
        <w:t>by :</w:t>
      </w:r>
      <w:proofErr w:type="gramEnd"/>
      <w:r w:rsidRPr="001656D8">
        <w:rPr>
          <w:rFonts w:ascii="Arial" w:hAnsi="Arial" w:cs="Arial"/>
          <w:color w:val="222222"/>
        </w:rPr>
        <w:t xml:space="preserve">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proofErr w:type="gramStart"/>
      <w:r w:rsidRPr="00A1542E">
        <w:rPr>
          <w:rFonts w:ascii="Arial" w:hAnsi="Arial" w:cs="Arial"/>
          <w:color w:val="222222"/>
          <w:lang w:val="fr-CH"/>
        </w:rPr>
        <w:t>description</w:t>
      </w:r>
      <w:proofErr w:type="gramEnd"/>
      <w:r w:rsidRPr="00A1542E">
        <w:rPr>
          <w:rFonts w:ascii="Arial" w:hAnsi="Arial" w:cs="Arial"/>
          <w:color w:val="222222"/>
          <w:lang w:val="fr-CH"/>
        </w:rPr>
        <w:t xml:space="preserve">: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data/zipcodes/US_zipcode.xlsx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proofErr w:type="gramStart"/>
      <w:r>
        <w:rPr>
          <w:rFonts w:ascii="Calibri" w:hAnsi="Calibri" w:cs="Calibri"/>
          <w:color w:val="000000"/>
        </w:rPr>
        <w:t>determined</w:t>
      </w:r>
      <w:proofErr w:type="gramEnd"/>
      <w:r>
        <w:rPr>
          <w:rFonts w:ascii="Calibri" w:hAnsi="Calibri" w:cs="Calibri"/>
          <w:color w:val="000000"/>
        </w:rPr>
        <w:t xml:space="preserve">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proofErr w:type="gramStart"/>
      <w:r w:rsidRPr="004A2BBC">
        <w:rPr>
          <w:rFonts w:ascii="Arial" w:hAnsi="Arial" w:cs="Arial"/>
          <w:color w:val="222222"/>
        </w:rPr>
        <w:t>description</w:t>
      </w:r>
      <w:proofErr w:type="gramEnd"/>
      <w:r w:rsidRPr="004A2BBC">
        <w:rPr>
          <w:rFonts w:ascii="Arial" w:hAnsi="Arial" w:cs="Arial"/>
          <w:color w:val="222222"/>
        </w:rPr>
        <w:t xml:space="preserve">: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proofErr w:type="gramStart"/>
      <w:r w:rsidRPr="00FE13E0">
        <w:rPr>
          <w:rFonts w:ascii="Arial" w:hAnsi="Arial" w:cs="Arial"/>
          <w:color w:val="222222"/>
          <w:lang w:val="fr-CH"/>
        </w:rPr>
        <w:lastRenderedPageBreak/>
        <w:t>source</w:t>
      </w:r>
      <w:proofErr w:type="gramEnd"/>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proofErr w:type="gramStart"/>
      <w:r>
        <w:rPr>
          <w:rFonts w:ascii="Calibri" w:hAnsi="Calibri" w:cs="Calibri"/>
          <w:color w:val="000000"/>
        </w:rPr>
        <w:t>determined</w:t>
      </w:r>
      <w:proofErr w:type="gramEnd"/>
      <w:r>
        <w:rPr>
          <w:rFonts w:ascii="Calibri" w:hAnsi="Calibri" w:cs="Calibri"/>
          <w:color w:val="000000"/>
        </w:rPr>
        <w:t xml:space="preserve">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xml:space="preserve">: From </w:t>
      </w:r>
      <w:r w:rsidR="005A22DB">
        <w:rPr>
          <w:rFonts w:ascii="Arial" w:hAnsi="Arial" w:cs="Arial"/>
          <w:color w:val="222222"/>
        </w:rPr>
        <w:t xml:space="preserve">source 1, </w:t>
      </w:r>
      <w:r w:rsidR="000B4817">
        <w:rPr>
          <w:rFonts w:ascii="Arial" w:hAnsi="Arial" w:cs="Arial"/>
          <w:color w:val="222222"/>
        </w:rPr>
        <w:t xml:space="preserve">we obtain the Remoteness Area of each mesh blocks, from source 2 we obtain the Postal Area, and from source 3 the population. We then merge the three sources with the mesh blocks information. We sum the population of each mesh block contained in a Postal Area. If a Postal Area </w:t>
      </w:r>
      <w:proofErr w:type="gramStart"/>
      <w:r w:rsidR="000B4817">
        <w:rPr>
          <w:rFonts w:ascii="Arial" w:hAnsi="Arial" w:cs="Arial"/>
          <w:color w:val="222222"/>
        </w:rPr>
        <w:t>is linked</w:t>
      </w:r>
      <w:proofErr w:type="gramEnd"/>
      <w:r w:rsidR="000B4817">
        <w:rPr>
          <w:rFonts w:ascii="Arial" w:hAnsi="Arial" w:cs="Arial"/>
          <w:color w:val="222222"/>
        </w:rPr>
        <w:t xml:space="preserve">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w:t>
      </w:r>
      <w:proofErr w:type="gramStart"/>
      <w:r w:rsidR="00AD5A3A">
        <w:rPr>
          <w:rFonts w:ascii="Arial" w:hAnsi="Arial" w:cs="Arial"/>
          <w:color w:val="222222"/>
        </w:rPr>
        <w:t>a</w:t>
      </w:r>
      <w:proofErr w:type="gramEnd"/>
      <w:r w:rsidR="00AD5A3A">
        <w:rPr>
          <w:rFonts w:ascii="Arial" w:hAnsi="Arial" w:cs="Arial"/>
          <w:color w:val="222222"/>
        </w:rPr>
        <w:t xml:space="preserve"> urban category.</w:t>
      </w:r>
    </w:p>
    <w:p w14:paraId="4A02FB79" w14:textId="283F6D49" w:rsidR="006E7346" w:rsidRPr="00BC3FFD" w:rsidRDefault="006E7346" w:rsidP="006E7346">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proofErr w:type="gramStart"/>
      <w:r w:rsidRPr="006E7346">
        <w:rPr>
          <w:rFonts w:ascii="Calibri" w:hAnsi="Calibri" w:cs="Calibri"/>
          <w:color w:val="000000"/>
          <w:sz w:val="22"/>
          <w:szCs w:val="22"/>
        </w:rPr>
        <w:t>source</w:t>
      </w:r>
      <w:proofErr w:type="gramEnd"/>
      <w:r w:rsidRPr="006E7346">
        <w:rPr>
          <w:rFonts w:ascii="Calibri" w:hAnsi="Calibri" w:cs="Calibri"/>
          <w:color w:val="000000"/>
          <w:sz w:val="22"/>
          <w:szCs w:val="22"/>
        </w:rPr>
        <w:t xml:space="preserv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proofErr w:type="gramStart"/>
      <w:r>
        <w:rPr>
          <w:rFonts w:ascii="Arial" w:hAnsi="Arial" w:cs="Arial"/>
          <w:color w:val="222222"/>
          <w:lang w:val="fr-FR"/>
        </w:rPr>
        <w:t>source</w:t>
      </w:r>
      <w:proofErr w:type="gramEnd"/>
      <w:r>
        <w:rPr>
          <w:rFonts w:ascii="Arial" w:hAnsi="Arial" w:cs="Arial"/>
          <w:color w:val="222222"/>
          <w:lang w:val="fr-FR"/>
        </w:rPr>
        <w:t xml:space="preserv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proofErr w:type="gramStart"/>
      <w:r>
        <w:rPr>
          <w:rFonts w:ascii="Calibri" w:hAnsi="Calibri" w:cs="Calibri"/>
          <w:color w:val="000000"/>
          <w:sz w:val="22"/>
          <w:szCs w:val="22"/>
          <w:lang w:val="fr-FR"/>
        </w:rPr>
        <w:t>source</w:t>
      </w:r>
      <w:proofErr w:type="gramEnd"/>
      <w:r>
        <w:rPr>
          <w:rFonts w:ascii="Calibri" w:hAnsi="Calibri" w:cs="Calibri"/>
          <w:color w:val="000000"/>
          <w:sz w:val="22"/>
          <w:szCs w:val="22"/>
          <w:lang w:val="fr-FR"/>
        </w:rPr>
        <w:t xml:space="preserve"> 4: </w:t>
      </w:r>
      <w:r w:rsidRPr="005A22DB">
        <w:rPr>
          <w:rFonts w:ascii="Calibri" w:hAnsi="Calibri" w:cs="Calibri"/>
          <w:color w:val="000000"/>
          <w:sz w:val="22"/>
          <w:szCs w:val="22"/>
          <w:lang w:val="fr-FR"/>
        </w:rPr>
        <w:t>https://github.com/matthewproctor/australianpostcodes</w:t>
      </w:r>
    </w:p>
    <w:p w14:paraId="2B709472" w14:textId="7900EF92" w:rsidR="006E7346" w:rsidRPr="00FE13E0" w:rsidRDefault="006E7346"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proofErr w:type="gramStart"/>
      <w:r w:rsidRPr="004A2BBC">
        <w:rPr>
          <w:rFonts w:ascii="Arial" w:hAnsi="Arial" w:cs="Arial"/>
          <w:color w:val="222222"/>
        </w:rPr>
        <w:t>Rural</w:t>
      </w:r>
      <w:r w:rsidR="00FE13E0">
        <w:rPr>
          <w:rFonts w:ascii="Arial" w:hAnsi="Arial" w:cs="Arial"/>
          <w:color w:val="222222"/>
        </w:rPr>
        <w:t xml:space="preserve"> :</w:t>
      </w:r>
      <w:proofErr w:type="gramEnd"/>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t>- Urban</w:t>
      </w:r>
      <w:r w:rsidR="00FE13E0">
        <w:rPr>
          <w:rFonts w:ascii="Arial" w:hAnsi="Arial" w:cs="Arial"/>
          <w:color w:val="222222"/>
        </w:rPr>
        <w:t xml:space="preserve">: </w:t>
      </w:r>
      <w:bookmarkStart w:id="0" w:name="_GoBack"/>
      <w:bookmarkEnd w:id="0"/>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t>
      </w:r>
      <w:proofErr w:type="gramStart"/>
      <w:r>
        <w:rPr>
          <w:rFonts w:ascii="Arial" w:hAnsi="Arial" w:cs="Arial"/>
          <w:color w:val="222222"/>
        </w:rPr>
        <w:t>What</w:t>
      </w:r>
      <w:proofErr w:type="gramEnd"/>
      <w:r>
        <w:rPr>
          <w:rFonts w:ascii="Arial" w:hAnsi="Arial" w:cs="Arial"/>
          <w:color w:val="222222"/>
        </w:rPr>
        <w:t xml:space="preserve"> is the size of the agglomeration you live in? </w:t>
      </w:r>
      <w:r>
        <w:rPr>
          <w:rFonts w:ascii="Arial" w:hAnsi="Arial" w:cs="Arial"/>
          <w:i/>
          <w:iCs/>
          <w:color w:val="222222"/>
        </w:rPr>
        <w:lastRenderedPageBreak/>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proofErr w:type="gramStart"/>
      <w:r w:rsidRPr="00E614C3">
        <w:rPr>
          <w:rFonts w:ascii="Arial" w:hAnsi="Arial" w:cs="Arial"/>
          <w:color w:val="222222"/>
        </w:rPr>
        <w:t>de</w:t>
      </w:r>
      <w:r>
        <w:rPr>
          <w:rFonts w:ascii="Arial" w:hAnsi="Arial" w:cs="Arial"/>
          <w:color w:val="222222"/>
        </w:rPr>
        <w:t>scription</w:t>
      </w:r>
      <w:proofErr w:type="gramEnd"/>
      <w:r>
        <w:rPr>
          <w:rFonts w:ascii="Arial" w:hAnsi="Arial" w:cs="Arial"/>
          <w:color w:val="222222"/>
        </w:rPr>
        <w:t xml:space="preserve">: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We use data from the source and remove duplicates by name.</w:t>
      </w:r>
    </w:p>
    <w:p w14:paraId="4E23D9D2" w14:textId="77777777" w:rsidR="00E31D1C" w:rsidRPr="00275529" w:rsidRDefault="00E31D1C" w:rsidP="00E31D1C">
      <w:pPr>
        <w:rPr>
          <w:rFonts w:ascii="Arial" w:hAnsi="Arial" w:cs="Arial"/>
          <w:i/>
          <w:iCs/>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xml:space="preserve">: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w:t>
      </w:r>
      <w:proofErr w:type="gramStart"/>
      <w:r>
        <w:rPr>
          <w:rFonts w:ascii="Arial" w:hAnsi="Arial" w:cs="Arial"/>
          <w:color w:val="222222"/>
        </w:rPr>
        <w:t>2</w:t>
      </w:r>
      <w:proofErr w:type="gramEnd"/>
      <w:r>
        <w:rPr>
          <w:rFonts w:ascii="Arial" w:hAnsi="Arial" w:cs="Arial"/>
          <w:color w:val="222222"/>
        </w:rPr>
        <w:t xml:space="preserve">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w:t>
      </w:r>
      <w:proofErr w:type="gramStart"/>
      <w:r>
        <w:rPr>
          <w:rFonts w:ascii="Arial" w:hAnsi="Arial" w:cs="Arial"/>
          <w:color w:val="222222"/>
        </w:rPr>
        <w:t>type,</w:t>
      </w:r>
      <w:proofErr w:type="gramEnd"/>
      <w:r>
        <w:rPr>
          <w:rFonts w:ascii="Arial" w:hAnsi="Arial" w:cs="Arial"/>
          <w:color w:val="222222"/>
        </w:rPr>
        <w:t xml:space="preserv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20509289" w14:textId="77777777" w:rsidR="00E31D1C" w:rsidRPr="00E31D1C" w:rsidRDefault="00E31D1C" w:rsidP="00E31D1C">
      <w:pPr>
        <w:rPr>
          <w:rFonts w:ascii="Arial" w:hAnsi="Arial" w:cs="Arial"/>
          <w:color w:val="222222"/>
        </w:rPr>
      </w:pPr>
      <w:proofErr w:type="gramStart"/>
      <w:r w:rsidRPr="00E31D1C">
        <w:rPr>
          <w:rFonts w:ascii="Arial" w:hAnsi="Arial" w:cs="Arial"/>
          <w:color w:val="222222"/>
        </w:rPr>
        <w:t>source</w:t>
      </w:r>
      <w:proofErr w:type="gramEnd"/>
      <w:r w:rsidRPr="00E31D1C">
        <w:rPr>
          <w:rFonts w:ascii="Arial" w:hAnsi="Arial" w:cs="Arial"/>
          <w:color w:val="222222"/>
        </w:rPr>
        <w:t xml:space="preserv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proofErr w:type="gramStart"/>
      <w:r w:rsidRPr="00FE13E0">
        <w:rPr>
          <w:rFonts w:ascii="Arial" w:hAnsi="Arial" w:cs="Arial"/>
          <w:color w:val="222222"/>
          <w:lang w:val="fr-CH"/>
        </w:rPr>
        <w:t>source</w:t>
      </w:r>
      <w:proofErr w:type="gramEnd"/>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proofErr w:type="gramStart"/>
      <w:r w:rsidRPr="00986268">
        <w:rPr>
          <w:rFonts w:ascii="Arial" w:hAnsi="Arial" w:cs="Arial"/>
          <w:color w:val="222222"/>
        </w:rPr>
        <w:t>description</w:t>
      </w:r>
      <w:proofErr w:type="gramEnd"/>
      <w:r w:rsidRPr="00986268">
        <w:rPr>
          <w:rFonts w:ascii="Arial" w:hAnsi="Arial" w:cs="Arial"/>
          <w:color w:val="222222"/>
        </w:rPr>
        <w:t xml:space="preserve">: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w:t>
      </w:r>
      <w:proofErr w:type="gramStart"/>
      <w:r w:rsidR="00184325">
        <w:rPr>
          <w:rFonts w:ascii="Arial" w:hAnsi="Arial" w:cs="Arial"/>
          <w:color w:val="222222"/>
        </w:rPr>
        <w:t>is linked</w:t>
      </w:r>
      <w:proofErr w:type="gramEnd"/>
      <w:r w:rsidR="00184325">
        <w:rPr>
          <w:rFonts w:ascii="Arial" w:hAnsi="Arial" w:cs="Arial"/>
          <w:color w:val="222222"/>
        </w:rPr>
        <w:t xml:space="preserve">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w:t>
      </w:r>
    </w:p>
    <w:p w14:paraId="5B055549" w14:textId="77777777" w:rsidR="00E31D1C" w:rsidRPr="00E31D1C" w:rsidRDefault="00E31D1C" w:rsidP="00E31D1C">
      <w:pPr>
        <w:rPr>
          <w:rFonts w:ascii="Arial" w:hAnsi="Arial" w:cs="Arial"/>
          <w:color w:val="222222"/>
        </w:rPr>
      </w:pPr>
      <w:proofErr w:type="gramStart"/>
      <w:r w:rsidRPr="00E31D1C">
        <w:rPr>
          <w:rFonts w:ascii="Arial" w:hAnsi="Arial" w:cs="Arial"/>
          <w:color w:val="222222"/>
        </w:rPr>
        <w:t>source</w:t>
      </w:r>
      <w:proofErr w:type="gramEnd"/>
      <w:r w:rsidRPr="00E31D1C">
        <w:rPr>
          <w:rFonts w:ascii="Arial" w:hAnsi="Arial" w:cs="Arial"/>
          <w:color w:val="222222"/>
        </w:rPr>
        <w:t xml:space="preserv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proofErr w:type="gramStart"/>
      <w:r>
        <w:rPr>
          <w:rFonts w:ascii="Arial" w:hAnsi="Arial" w:cs="Arial"/>
          <w:color w:val="222222"/>
          <w:lang w:val="fr-FR"/>
        </w:rPr>
        <w:t>source</w:t>
      </w:r>
      <w:proofErr w:type="gramEnd"/>
      <w:r>
        <w:rPr>
          <w:rFonts w:ascii="Arial" w:hAnsi="Arial" w:cs="Arial"/>
          <w:color w:val="222222"/>
          <w:lang w:val="fr-FR"/>
        </w:rPr>
        <w:t xml:space="preserve"> 2: </w:t>
      </w:r>
      <w:r w:rsidRPr="00151253">
        <w:rPr>
          <w:rFonts w:ascii="Arial" w:hAnsi="Arial" w:cs="Arial"/>
          <w:color w:val="222222"/>
          <w:lang w:val="fr-FR"/>
        </w:rPr>
        <w:t>https://www.e-stat.go.jp/en/regional-statistics/ssdsview/municipality</w:t>
      </w:r>
    </w:p>
    <w:p w14:paraId="50D06A5F" w14:textId="77777777" w:rsidR="00E31D1C" w:rsidRDefault="00E31D1C"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proofErr w:type="gramStart"/>
      <w:r w:rsidRPr="001C5C04">
        <w:rPr>
          <w:rFonts w:ascii="Arial" w:hAnsi="Arial" w:cs="Arial"/>
          <w:color w:val="222222"/>
        </w:rPr>
        <w:t>description</w:t>
      </w:r>
      <w:proofErr w:type="gramEnd"/>
      <w:r w:rsidRPr="001C5C04">
        <w:rPr>
          <w:rFonts w:ascii="Arial" w:hAnsi="Arial" w:cs="Arial"/>
          <w:color w:val="222222"/>
        </w:rPr>
        <w:t>: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lastRenderedPageBreak/>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proofErr w:type="gramStart"/>
      <w:r w:rsidRPr="00854C07">
        <w:rPr>
          <w:rFonts w:ascii="Arial" w:hAnsi="Arial" w:cs="Arial"/>
          <w:color w:val="222222"/>
        </w:rPr>
        <w:t>description</w:t>
      </w:r>
      <w:proofErr w:type="gramEnd"/>
      <w:r w:rsidRPr="00854C07">
        <w:rPr>
          <w:rFonts w:ascii="Arial" w:hAnsi="Arial" w:cs="Arial"/>
          <w:color w:val="222222"/>
        </w:rPr>
        <w:t xml:space="preserve">: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 In which type of municipality do you currently live in? </w:t>
      </w:r>
      <w:r>
        <w:rPr>
          <w:rFonts w:ascii="Arial" w:hAnsi="Arial" w:cs="Arial"/>
          <w:i/>
          <w:iCs/>
          <w:color w:val="222222"/>
        </w:rPr>
        <w:t xml:space="preserve">A metropolitan municipality; </w:t>
      </w:r>
      <w:proofErr w:type="gramStart"/>
      <w:r>
        <w:rPr>
          <w:rFonts w:ascii="Arial" w:hAnsi="Arial" w:cs="Arial"/>
          <w:i/>
          <w:iCs/>
          <w:color w:val="222222"/>
        </w:rPr>
        <w:t>In</w:t>
      </w:r>
      <w:proofErr w:type="gramEnd"/>
      <w:r>
        <w:rPr>
          <w:rFonts w:ascii="Arial" w:hAnsi="Arial" w:cs="Arial"/>
          <w:i/>
          <w:iCs/>
          <w:color w:val="222222"/>
        </w:rPr>
        <w:t xml:space="preserve">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proofErr w:type="gramStart"/>
      <w:r w:rsidRPr="00FE13E0">
        <w:rPr>
          <w:rFonts w:ascii="Arial" w:hAnsi="Arial" w:cs="Arial"/>
          <w:color w:val="222222"/>
          <w:lang w:val="fr-CH"/>
        </w:rPr>
        <w:t>source</w:t>
      </w:r>
      <w:proofErr w:type="gramEnd"/>
      <w:r w:rsidRPr="00FE13E0">
        <w:rPr>
          <w:rFonts w:ascii="Arial" w:hAnsi="Arial" w:cs="Arial"/>
          <w:color w:val="222222"/>
          <w:lang w:val="fr-CH"/>
        </w:rPr>
        <w:t xml:space="preserve">: </w:t>
      </w:r>
      <w:r w:rsidRPr="00FE13E0">
        <w:rPr>
          <w:rFonts w:ascii="Calibri" w:hAnsi="Calibri" w:cs="Calibri"/>
          <w:color w:val="000000"/>
          <w:lang w:val="fr-CH"/>
        </w:rPr>
        <w:t>http://interactive2.statssa.gov.za/webapi/</w:t>
      </w:r>
    </w:p>
    <w:p w14:paraId="32D06DDC" w14:textId="77777777" w:rsidR="00E31D1C" w:rsidRPr="00FE13E0" w:rsidRDefault="00E31D1C" w:rsidP="00E31D1C">
      <w:pPr>
        <w:rPr>
          <w:rFonts w:ascii="Arial" w:hAnsi="Arial" w:cs="Arial"/>
          <w:color w:val="222222"/>
          <w:lang w:val="fr-CH"/>
        </w:rPr>
      </w:pPr>
    </w:p>
    <w:p w14:paraId="01136FDC" w14:textId="77777777" w:rsidR="00E31D1C" w:rsidRPr="00FE13E0" w:rsidRDefault="00E31D1C" w:rsidP="00E31D1C">
      <w:pPr>
        <w:rPr>
          <w:rFonts w:ascii="Arial" w:hAnsi="Arial" w:cs="Arial"/>
          <w:color w:val="222222"/>
          <w:lang w:val="fr-CH"/>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xml:space="preserve">: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proofErr w:type="gramStart"/>
      <w:r>
        <w:rPr>
          <w:rFonts w:ascii="Arial" w:hAnsi="Arial" w:cs="Arial"/>
          <w:color w:val="222222"/>
        </w:rPr>
        <w:t>determined</w:t>
      </w:r>
      <w:proofErr w:type="gramEnd"/>
      <w:r>
        <w:rPr>
          <w:rFonts w:ascii="Arial" w:hAnsi="Arial" w:cs="Arial"/>
          <w:color w:val="222222"/>
        </w:rPr>
        <w:t xml:space="preserve">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77777777" w:rsidR="00E31D1C" w:rsidRDefault="00E31D1C" w:rsidP="00E31D1C">
      <w:pPr>
        <w:rPr>
          <w:rFonts w:ascii="Arial" w:hAnsi="Arial" w:cs="Arial"/>
          <w:color w:val="222222"/>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proofErr w:type="gramStart"/>
      <w:r>
        <w:rPr>
          <w:rFonts w:ascii="Arial" w:hAnsi="Arial" w:cs="Arial"/>
          <w:color w:val="222222"/>
        </w:rPr>
        <w:t>description</w:t>
      </w:r>
      <w:proofErr w:type="gramEnd"/>
      <w:r>
        <w:rPr>
          <w:rFonts w:ascii="Arial" w:hAnsi="Arial" w:cs="Arial"/>
          <w:color w:val="222222"/>
        </w:rPr>
        <w:t xml:space="preserve">: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proofErr w:type="gramStart"/>
      <w:r>
        <w:rPr>
          <w:rFonts w:ascii="Arial" w:hAnsi="Arial" w:cs="Arial"/>
          <w:color w:val="222222"/>
        </w:rPr>
        <w:t>determined</w:t>
      </w:r>
      <w:proofErr w:type="gramEnd"/>
      <w:r>
        <w:rPr>
          <w:rFonts w:ascii="Arial" w:hAnsi="Arial" w:cs="Arial"/>
          <w:color w:val="222222"/>
        </w:rPr>
        <w:t xml:space="preserve">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547DC9"/>
    <w:rsid w:val="00557620"/>
    <w:rsid w:val="005825BB"/>
    <w:rsid w:val="00590291"/>
    <w:rsid w:val="0059367A"/>
    <w:rsid w:val="00596512"/>
    <w:rsid w:val="005A22DB"/>
    <w:rsid w:val="005B77E2"/>
    <w:rsid w:val="005D0B6D"/>
    <w:rsid w:val="005E143F"/>
    <w:rsid w:val="005F73C5"/>
    <w:rsid w:val="00617FE4"/>
    <w:rsid w:val="00657EAA"/>
    <w:rsid w:val="006602BE"/>
    <w:rsid w:val="0066039A"/>
    <w:rsid w:val="006929B2"/>
    <w:rsid w:val="00692DAB"/>
    <w:rsid w:val="006A2DB6"/>
    <w:rsid w:val="006E1FA7"/>
    <w:rsid w:val="006E7346"/>
    <w:rsid w:val="006F6845"/>
    <w:rsid w:val="00710099"/>
    <w:rsid w:val="00716161"/>
    <w:rsid w:val="007221CF"/>
    <w:rsid w:val="00747F4E"/>
    <w:rsid w:val="007564ED"/>
    <w:rsid w:val="00772EBA"/>
    <w:rsid w:val="00775984"/>
    <w:rsid w:val="0078694C"/>
    <w:rsid w:val="00790CC0"/>
    <w:rsid w:val="007A0BAD"/>
    <w:rsid w:val="007C1BB1"/>
    <w:rsid w:val="007E5186"/>
    <w:rsid w:val="00827B47"/>
    <w:rsid w:val="00836A1E"/>
    <w:rsid w:val="0083792C"/>
    <w:rsid w:val="00876323"/>
    <w:rsid w:val="008E0FA2"/>
    <w:rsid w:val="008E38A7"/>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3248E"/>
    <w:rsid w:val="00D6362F"/>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Fabre  Adrien</cp:lastModifiedBy>
  <cp:revision>63</cp:revision>
  <dcterms:created xsi:type="dcterms:W3CDTF">2021-07-17T07:00:00Z</dcterms:created>
  <dcterms:modified xsi:type="dcterms:W3CDTF">2021-08-10T21:22:00Z</dcterms:modified>
</cp:coreProperties>
</file>