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FF5FE4"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proofErr w:type="spellStart"/>
      <w:r w:rsidR="00384434" w:rsidRPr="00384434">
        <w:rPr>
          <w:rFonts w:ascii="Arial" w:hAnsi="Arial" w:cs="Arial"/>
          <w:color w:val="222222"/>
        </w:rPr>
        <w:t>Hovedstaden</w:t>
      </w:r>
      <w:proofErr w:type="spellEnd"/>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proofErr w:type="spellStart"/>
      <w:r w:rsidR="00384434" w:rsidRPr="00384434">
        <w:rPr>
          <w:rFonts w:ascii="Arial" w:hAnsi="Arial" w:cs="Arial"/>
          <w:i/>
          <w:iCs/>
          <w:color w:val="222222"/>
        </w:rPr>
        <w:t>Nordjylland</w:t>
      </w:r>
      <w:proofErr w:type="spellEnd"/>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proofErr w:type="spellStart"/>
      <w:r w:rsidR="00384434" w:rsidRPr="00384434">
        <w:rPr>
          <w:rFonts w:ascii="Arial" w:hAnsi="Arial" w:cs="Arial"/>
          <w:i/>
          <w:iCs/>
          <w:color w:val="222222"/>
        </w:rPr>
        <w:t>Sjælland</w:t>
      </w:r>
      <w:proofErr w:type="spellEnd"/>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proofErr w:type="spellStart"/>
      <w:r w:rsidR="00384434" w:rsidRPr="00384434">
        <w:rPr>
          <w:rFonts w:ascii="Arial" w:hAnsi="Arial" w:cs="Arial"/>
          <w:i/>
          <w:iCs/>
          <w:color w:val="222222"/>
        </w:rPr>
        <w:t>Syddanmark</w:t>
      </w:r>
      <w:proofErr w:type="spellEnd"/>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2D337F4B" w:rsidR="0066039A" w:rsidRPr="00205105" w:rsidRDefault="0066039A" w:rsidP="0066039A">
      <w:pPr>
        <w:rPr>
          <w:rFonts w:ascii="Arial" w:hAnsi="Arial" w:cs="Arial"/>
          <w:color w:val="222222"/>
        </w:rPr>
      </w:pPr>
      <w:r>
        <w:rPr>
          <w:rFonts w:ascii="Arial" w:hAnsi="Arial" w:cs="Arial"/>
          <w:color w:val="222222"/>
        </w:rPr>
        <w:t xml:space="preserve">determined with: </w:t>
      </w:r>
      <w:r w:rsidR="0059367A">
        <w:rPr>
          <w:rFonts w:ascii="Arial" w:hAnsi="Arial" w:cs="Arial"/>
          <w:color w:val="222222"/>
        </w:rPr>
        <w:t>TBD</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lastRenderedPageBreak/>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B09F2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Andaman and Nicobar Islands,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0B58ADD6"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Varacruz</w:t>
      </w:r>
      <w:proofErr w:type="spellEnd"/>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lastRenderedPageBreak/>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 xml:space="preserve">North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South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w:t>
      </w:r>
      <w:proofErr w:type="spellStart"/>
      <w:r w:rsidRPr="00EB595A">
        <w:rPr>
          <w:rFonts w:ascii="Arial" w:hAnsi="Arial" w:cs="Arial"/>
          <w:i/>
          <w:iCs/>
          <w:color w:val="222222"/>
        </w:rPr>
        <w:t>Gwanggju</w:t>
      </w:r>
      <w:proofErr w:type="spellEnd"/>
      <w:r w:rsidRPr="00EB595A">
        <w:rPr>
          <w:rFonts w:ascii="Arial" w:hAnsi="Arial" w:cs="Arial"/>
          <w:i/>
          <w:iCs/>
          <w:color w:val="222222"/>
        </w:rPr>
        <w:t xml:space="preserve">; </w:t>
      </w:r>
      <w:proofErr w:type="spellStart"/>
      <w:r w:rsidRPr="00EB595A">
        <w:rPr>
          <w:rFonts w:ascii="Arial" w:hAnsi="Arial" w:cs="Arial"/>
          <w:i/>
          <w:iCs/>
          <w:color w:val="222222"/>
        </w:rPr>
        <w:t>Jeju</w:t>
      </w:r>
      <w:proofErr w:type="spellEnd"/>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 xml:space="preserve">South </w:t>
      </w:r>
      <w:proofErr w:type="spellStart"/>
      <w:r w:rsidRPr="00EB595A">
        <w:rPr>
          <w:rFonts w:ascii="Arial" w:hAnsi="Arial" w:cs="Arial"/>
          <w:i/>
          <w:iCs/>
          <w:color w:val="222222"/>
        </w:rPr>
        <w:t>Gyeongsang</w:t>
      </w:r>
      <w:proofErr w:type="spellEnd"/>
      <w:r w:rsidRPr="00EB595A">
        <w:rPr>
          <w:rFonts w:ascii="Arial" w:hAnsi="Arial" w:cs="Arial"/>
          <w:i/>
          <w:iCs/>
          <w:color w:val="222222"/>
        </w:rPr>
        <w:t xml:space="preserve">; North </w:t>
      </w:r>
      <w:proofErr w:type="spellStart"/>
      <w:r w:rsidRPr="00EB595A">
        <w:rPr>
          <w:rFonts w:ascii="Arial" w:hAnsi="Arial" w:cs="Arial"/>
          <w:i/>
          <w:iCs/>
          <w:color w:val="222222"/>
        </w:rPr>
        <w:t>Gyeongsang</w:t>
      </w:r>
      <w:proofErr w:type="spellEnd"/>
      <w:r w:rsidRPr="00EB595A">
        <w:rPr>
          <w:rFonts w:ascii="Arial" w:hAnsi="Arial" w:cs="Arial"/>
          <w:i/>
          <w:iCs/>
          <w:color w:val="222222"/>
        </w:rPr>
        <w:t>;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0DF50D6A" w:rsidR="00EB595A" w:rsidRPr="00963122" w:rsidRDefault="00EB595A" w:rsidP="00EB595A">
      <w:pPr>
        <w:rPr>
          <w:rFonts w:ascii="Arial" w:hAnsi="Arial" w:cs="Arial"/>
          <w:color w:val="222222"/>
        </w:rPr>
      </w:pPr>
      <w:r>
        <w:rPr>
          <w:rFonts w:ascii="Arial" w:hAnsi="Arial" w:cs="Arial"/>
          <w:color w:val="222222"/>
        </w:rPr>
        <w:t xml:space="preserve">determined with: </w:t>
      </w:r>
      <w:r w:rsidR="00D461E0">
        <w:rPr>
          <w:rFonts w:ascii="Arial" w:hAnsi="Arial" w:cs="Arial"/>
          <w:color w:val="222222"/>
        </w:rPr>
        <w:t>zip code</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3D62F9D" w:rsidR="00211140" w:rsidRPr="00180BFD" w:rsidRDefault="00211140" w:rsidP="00211140">
      <w:pPr>
        <w:rPr>
          <w:rFonts w:ascii="Arial" w:hAnsi="Arial" w:cs="Arial"/>
          <w:color w:val="222222"/>
        </w:rPr>
      </w:pPr>
      <w:r>
        <w:rPr>
          <w:rFonts w:ascii="Arial" w:hAnsi="Arial" w:cs="Arial"/>
          <w:color w:val="222222"/>
        </w:rPr>
        <w:t xml:space="preserve">determined with: </w:t>
      </w:r>
      <w:r w:rsidR="000F62F3">
        <w:rPr>
          <w:rFonts w:ascii="Arial" w:hAnsi="Arial" w:cs="Arial"/>
          <w:color w:val="222222"/>
        </w:rPr>
        <w:t>zip codes</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 xml:space="preserve">Cherkasy; </w:t>
      </w:r>
      <w:proofErr w:type="spellStart"/>
      <w:r w:rsidR="002F3FCC" w:rsidRPr="002F3FCC">
        <w:rPr>
          <w:rFonts w:ascii="Arial" w:hAnsi="Arial" w:cs="Arial"/>
          <w:i/>
          <w:iCs/>
          <w:color w:val="222222"/>
        </w:rPr>
        <w:t>Kirovohrad</w:t>
      </w:r>
      <w:proofErr w:type="spellEnd"/>
      <w:r w:rsidR="002F3FCC" w:rsidRPr="002F3FCC">
        <w:rPr>
          <w:rFonts w:ascii="Arial" w:hAnsi="Arial" w:cs="Arial"/>
          <w:i/>
          <w:iCs/>
          <w:color w:val="222222"/>
        </w:rPr>
        <w:t xml:space="preserve">; Kyiv; </w:t>
      </w:r>
      <w:proofErr w:type="spellStart"/>
      <w:r w:rsidR="002F3FCC" w:rsidRPr="002F3FCC">
        <w:rPr>
          <w:rFonts w:ascii="Arial" w:hAnsi="Arial" w:cs="Arial"/>
          <w:i/>
          <w:iCs/>
          <w:color w:val="222222"/>
        </w:rPr>
        <w:t>Vinnytsya</w:t>
      </w:r>
      <w:proofErr w:type="spellEnd"/>
      <w:r w:rsidR="002F3FCC" w:rsidRPr="002F3FCC">
        <w:rPr>
          <w:rFonts w:ascii="Arial" w:hAnsi="Arial" w:cs="Arial"/>
          <w:i/>
          <w:iCs/>
          <w:color w:val="222222"/>
        </w:rPr>
        <w:t>;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C24DD7">
        <w:rPr>
          <w:rFonts w:ascii="Arial" w:hAnsi="Arial" w:cs="Arial"/>
          <w:color w:val="222222"/>
        </w:rPr>
        <w:t xml:space="preserve">East) </w:t>
      </w:r>
      <w:r w:rsidR="002F3FCC" w:rsidRPr="002F3FCC">
        <w:rPr>
          <w:rFonts w:ascii="Arial" w:hAnsi="Arial" w:cs="Arial"/>
          <w:i/>
          <w:iCs/>
          <w:color w:val="222222"/>
        </w:rPr>
        <w:t xml:space="preserve">Donetsk; </w:t>
      </w:r>
      <w:proofErr w:type="spellStart"/>
      <w:r w:rsidR="002F3FCC" w:rsidRPr="002F3FCC">
        <w:rPr>
          <w:rFonts w:ascii="Arial" w:hAnsi="Arial" w:cs="Arial"/>
          <w:i/>
          <w:iCs/>
          <w:color w:val="222222"/>
        </w:rPr>
        <w:t>Kharkiv</w:t>
      </w:r>
      <w:proofErr w:type="spellEnd"/>
      <w:r w:rsidR="002F3FCC" w:rsidRPr="002F3FCC">
        <w:rPr>
          <w:rFonts w:ascii="Arial" w:hAnsi="Arial" w:cs="Arial"/>
          <w:i/>
          <w:iCs/>
          <w:color w:val="222222"/>
        </w:rPr>
        <w:t>;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lastRenderedPageBreak/>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 xml:space="preserve">Dnipropetrovsk; Kherson; </w:t>
      </w:r>
      <w:proofErr w:type="spellStart"/>
      <w:r w:rsidR="002F3FCC" w:rsidRPr="002F3FCC">
        <w:rPr>
          <w:rFonts w:ascii="Arial" w:hAnsi="Arial" w:cs="Arial"/>
          <w:i/>
          <w:iCs/>
          <w:color w:val="222222"/>
        </w:rPr>
        <w:t>Mykolayiv</w:t>
      </w:r>
      <w:proofErr w:type="spellEnd"/>
      <w:r w:rsidR="002F3FCC" w:rsidRPr="002F3FCC">
        <w:rPr>
          <w:rFonts w:ascii="Arial" w:hAnsi="Arial" w:cs="Arial"/>
          <w:i/>
          <w:iCs/>
          <w:color w:val="222222"/>
        </w:rPr>
        <w:t xml:space="preserve">; Odesa; </w:t>
      </w:r>
      <w:proofErr w:type="spellStart"/>
      <w:r w:rsidR="002F3FCC" w:rsidRPr="002F3FCC">
        <w:rPr>
          <w:rFonts w:ascii="Arial" w:hAnsi="Arial" w:cs="Arial"/>
          <w:i/>
          <w:iCs/>
          <w:color w:val="222222"/>
        </w:rPr>
        <w:t>Zaporizhzhya</w:t>
      </w:r>
      <w:proofErr w:type="spellEnd"/>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 xml:space="preserve">Chernivtsi; Ivano-Frankivsk; </w:t>
      </w:r>
      <w:proofErr w:type="spellStart"/>
      <w:r w:rsidR="002F3FCC" w:rsidRPr="002F3FCC">
        <w:rPr>
          <w:rFonts w:ascii="Arial" w:hAnsi="Arial" w:cs="Arial"/>
          <w:i/>
          <w:iCs/>
          <w:color w:val="222222"/>
        </w:rPr>
        <w:t>Khmelnytski</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Lviv</w:t>
      </w:r>
      <w:proofErr w:type="spellEnd"/>
      <w:r w:rsidR="002F3FCC" w:rsidRPr="002F3FCC">
        <w:rPr>
          <w:rFonts w:ascii="Arial" w:hAnsi="Arial" w:cs="Arial"/>
          <w:i/>
          <w:iCs/>
          <w:color w:val="222222"/>
        </w:rPr>
        <w:t xml:space="preserve">; Rivne; </w:t>
      </w:r>
      <w:proofErr w:type="spellStart"/>
      <w:r w:rsidR="002F3FCC" w:rsidRPr="002F3FCC">
        <w:rPr>
          <w:rFonts w:ascii="Arial" w:hAnsi="Arial" w:cs="Arial"/>
          <w:i/>
          <w:iCs/>
          <w:color w:val="222222"/>
        </w:rPr>
        <w:t>Ternopil</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Volyn</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Zakarpattya</w:t>
      </w:r>
      <w:proofErr w:type="spellEnd"/>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46D0F08E" w:rsidR="00FC7738" w:rsidRPr="00BC3FFD" w:rsidRDefault="00FC7738" w:rsidP="00FC7738">
      <w:pPr>
        <w:rPr>
          <w:rFonts w:ascii="Arial" w:hAnsi="Arial" w:cs="Arial"/>
          <w:color w:val="222222"/>
        </w:rPr>
      </w:pPr>
      <w:r>
        <w:rPr>
          <w:rFonts w:ascii="Arial" w:hAnsi="Arial" w:cs="Arial"/>
          <w:color w:val="222222"/>
        </w:rPr>
        <w:t xml:space="preserve">determined with: </w:t>
      </w:r>
      <w:r w:rsidR="00FF5FE4">
        <w:rPr>
          <w:rFonts w:ascii="Arial" w:hAnsi="Arial" w:cs="Arial"/>
          <w:color w:val="222222"/>
        </w:rPr>
        <w:t>zip codes</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w:t>
      </w:r>
      <w:proofErr w:type="spellStart"/>
      <w:r w:rsidRPr="00A1542E">
        <w:rPr>
          <w:rFonts w:ascii="Calibri" w:hAnsi="Calibri" w:cs="Calibri"/>
          <w:color w:val="0563C1"/>
          <w:sz w:val="22"/>
          <w:szCs w:val="22"/>
          <w:u w:val="single"/>
        </w:rPr>
        <w:t>zipcodes</w:t>
      </w:r>
      <w:proofErr w:type="spellEnd"/>
      <w:r w:rsidRPr="00A1542E">
        <w:rPr>
          <w:rFonts w:ascii="Calibri" w:hAnsi="Calibri" w:cs="Calibri"/>
          <w:color w:val="0563C1"/>
          <w:sz w:val="22"/>
          <w:szCs w:val="22"/>
          <w:u w:val="single"/>
        </w:rPr>
        <w:t>/US_zipcode.xlsx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lastRenderedPageBreak/>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7900EF92" w:rsidR="006E7346" w:rsidRPr="00FE13E0" w:rsidRDefault="006E7346"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t>- Urban</w:t>
      </w:r>
      <w:r w:rsidR="00FE13E0">
        <w:rPr>
          <w:rFonts w:ascii="Arial" w:hAnsi="Arial" w:cs="Arial"/>
          <w:color w:val="222222"/>
        </w:rPr>
        <w:t xml:space="preserve">: </w:t>
      </w:r>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lastRenderedPageBreak/>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w:t>
      </w:r>
      <w:proofErr w:type="spellStart"/>
      <w:r>
        <w:rPr>
          <w:rFonts w:ascii="Arial" w:hAnsi="Arial" w:cs="Arial"/>
          <w:i/>
          <w:iCs/>
          <w:color w:val="222222"/>
        </w:rPr>
        <w:t>Semiurbano</w:t>
      </w:r>
      <w:proofErr w:type="spellEnd"/>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proofErr w:type="spellStart"/>
      <w:r>
        <w:rPr>
          <w:rFonts w:ascii="Arial" w:hAnsi="Arial" w:cs="Arial"/>
          <w:i/>
          <w:iCs/>
          <w:color w:val="222222"/>
        </w:rPr>
        <w:t>Urbano</w:t>
      </w:r>
      <w:proofErr w:type="spellEnd"/>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Semiurbano</w:t>
      </w:r>
      <w:proofErr w:type="spellEnd"/>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Urbano</w:t>
      </w:r>
      <w:proofErr w:type="spellEnd"/>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t>determined with: zip code.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source 2: 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18F9880A" w:rsidR="00E31D1C" w:rsidRDefault="00E31D1C" w:rsidP="00E31D1C">
      <w:pPr>
        <w:rPr>
          <w:rFonts w:ascii="Arial" w:hAnsi="Arial" w:cs="Arial"/>
          <w:color w:val="222222"/>
          <w:lang w:val="fr-CH"/>
        </w:rPr>
      </w:pPr>
    </w:p>
    <w:p w14:paraId="491D6C1B" w14:textId="4C100538" w:rsidR="00791868" w:rsidRDefault="00791868" w:rsidP="00791868">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08C92519" w14:textId="072ABF34" w:rsidR="00791868" w:rsidRPr="006E1FA7" w:rsidRDefault="00791868" w:rsidP="00791868">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Live in a District (i.e., “Gum”).</w:t>
      </w:r>
    </w:p>
    <w:p w14:paraId="27A0E908" w14:textId="51ECDEC3" w:rsidR="00791868" w:rsidRPr="00EE01A7" w:rsidRDefault="00791868" w:rsidP="00791868">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Live in a Town (i.e., “Si”) .</w:t>
      </w:r>
    </w:p>
    <w:p w14:paraId="06110DAD" w14:textId="4FFBADBD" w:rsidR="00791868" w:rsidRPr="00EE01A7" w:rsidRDefault="00791868" w:rsidP="00791868">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Live in a City (i.e., “Gu”).</w:t>
      </w:r>
    </w:p>
    <w:p w14:paraId="63188D2E" w14:textId="77777777" w:rsidR="00791868" w:rsidRDefault="00791868" w:rsidP="00791868">
      <w:pPr>
        <w:rPr>
          <w:rFonts w:ascii="Arial" w:hAnsi="Arial" w:cs="Arial"/>
          <w:color w:val="222222"/>
        </w:rPr>
      </w:pPr>
    </w:p>
    <w:p w14:paraId="3FECFD2B" w14:textId="40F3E27E" w:rsidR="00791868" w:rsidRPr="00854C07" w:rsidRDefault="00791868" w:rsidP="00791868">
      <w:pPr>
        <w:rPr>
          <w:rFonts w:ascii="Arial" w:hAnsi="Arial" w:cs="Arial"/>
          <w:color w:val="222222"/>
        </w:rPr>
      </w:pPr>
      <w:r w:rsidRPr="00854C07">
        <w:rPr>
          <w:rFonts w:ascii="Arial" w:hAnsi="Arial" w:cs="Arial"/>
          <w:color w:val="222222"/>
        </w:rPr>
        <w:t xml:space="preserve">description: </w:t>
      </w:r>
      <w:r>
        <w:rPr>
          <w:rFonts w:ascii="Arial" w:hAnsi="Arial" w:cs="Arial"/>
          <w:color w:val="222222"/>
        </w:rPr>
        <w:t>From source 1, we collect the share of population living in each Municipal administrative level. From source 2, we collect the Municipal administrative level assigned to each zip code</w:t>
      </w:r>
      <w:r w:rsidR="00810EDC">
        <w:rPr>
          <w:rFonts w:ascii="Arial" w:hAnsi="Arial" w:cs="Arial"/>
          <w:color w:val="222222"/>
        </w:rPr>
        <w:t>.</w:t>
      </w:r>
    </w:p>
    <w:p w14:paraId="01B94433" w14:textId="504E5790" w:rsidR="00791868" w:rsidRPr="00EE01A7" w:rsidRDefault="00791868" w:rsidP="00791868">
      <w:pPr>
        <w:rPr>
          <w:rFonts w:ascii="Arial" w:hAnsi="Arial" w:cs="Arial"/>
          <w:i/>
          <w:iCs/>
          <w:color w:val="222222"/>
        </w:rPr>
      </w:pPr>
      <w:r>
        <w:rPr>
          <w:rFonts w:ascii="Arial" w:hAnsi="Arial" w:cs="Arial"/>
          <w:color w:val="222222"/>
        </w:rPr>
        <w:t>determined with: zip code</w:t>
      </w:r>
      <w:r>
        <w:rPr>
          <w:rFonts w:ascii="Arial" w:hAnsi="Arial" w:cs="Arial"/>
          <w:i/>
          <w:iCs/>
          <w:color w:val="222222"/>
        </w:rPr>
        <w:t>.</w:t>
      </w:r>
    </w:p>
    <w:p w14:paraId="3B7A0962" w14:textId="24877768" w:rsidR="00791868" w:rsidRPr="00FF5FE4" w:rsidRDefault="00791868" w:rsidP="00791868">
      <w:pPr>
        <w:rPr>
          <w:rFonts w:ascii="Arial" w:hAnsi="Arial" w:cs="Arial"/>
          <w:color w:val="222222"/>
        </w:rPr>
      </w:pPr>
      <w:r w:rsidRPr="00FF5FE4">
        <w:rPr>
          <w:rFonts w:ascii="Arial" w:hAnsi="Arial" w:cs="Arial"/>
          <w:color w:val="222222"/>
        </w:rPr>
        <w:t>source 1: https://www.index.go.kr/potal/main/EachDtlPageDetail.do?idx_cd=1200 [file "2020</w:t>
      </w:r>
      <w:r w:rsidRPr="00791868">
        <w:rPr>
          <w:rFonts w:ascii="Malgun Gothic" w:eastAsia="Malgun Gothic" w:hAnsi="Malgun Gothic" w:cs="Malgun Gothic" w:hint="eastAsia"/>
          <w:color w:val="222222"/>
          <w:lang w:val="fr-FR"/>
        </w:rPr>
        <w:t>년</w:t>
      </w:r>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도시지역</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인구현황</w:t>
      </w:r>
      <w:proofErr w:type="spellEnd"/>
      <w:r w:rsidRPr="00FF5FE4">
        <w:rPr>
          <w:rFonts w:ascii="Arial" w:hAnsi="Arial" w:cs="Arial"/>
          <w:color w:val="222222"/>
        </w:rPr>
        <w:t>(</w:t>
      </w:r>
      <w:proofErr w:type="spellStart"/>
      <w:r w:rsidRPr="00791868">
        <w:rPr>
          <w:rFonts w:ascii="Malgun Gothic" w:eastAsia="Malgun Gothic" w:hAnsi="Malgun Gothic" w:cs="Malgun Gothic" w:hint="eastAsia"/>
          <w:color w:val="222222"/>
          <w:lang w:val="fr-FR"/>
        </w:rPr>
        <w:t>시군구별</w:t>
      </w:r>
      <w:proofErr w:type="spellEnd"/>
      <w:r w:rsidRPr="00FF5FE4">
        <w:rPr>
          <w:rFonts w:ascii="Arial" w:hAnsi="Arial" w:cs="Arial"/>
          <w:color w:val="222222"/>
        </w:rPr>
        <w:t>).</w:t>
      </w:r>
      <w:proofErr w:type="spellStart"/>
      <w:r w:rsidRPr="00FF5FE4">
        <w:rPr>
          <w:rFonts w:ascii="Arial" w:hAnsi="Arial" w:cs="Arial"/>
          <w:color w:val="222222"/>
        </w:rPr>
        <w:t>xls</w:t>
      </w:r>
      <w:proofErr w:type="spellEnd"/>
      <w:r w:rsidRPr="00FF5FE4">
        <w:rPr>
          <w:rFonts w:ascii="Arial" w:hAnsi="Arial" w:cs="Arial"/>
          <w:color w:val="222222"/>
        </w:rPr>
        <w:t>"]</w:t>
      </w:r>
    </w:p>
    <w:p w14:paraId="7BFC9E8E" w14:textId="3F77D56C" w:rsidR="00791868" w:rsidRPr="00FF5FE4" w:rsidRDefault="00791868" w:rsidP="00791868">
      <w:pPr>
        <w:rPr>
          <w:rFonts w:ascii="Calibri" w:hAnsi="Calibri" w:cs="Calibri"/>
          <w:color w:val="000000"/>
        </w:rPr>
      </w:pPr>
      <w:r w:rsidRPr="00FF5FE4">
        <w:rPr>
          <w:rFonts w:ascii="Arial" w:hAnsi="Arial" w:cs="Arial"/>
          <w:color w:val="222222"/>
        </w:rPr>
        <w:t>source 2: https://www.epost.go.kr/search/zipcode/areacdAddressDown.jsp [file "</w:t>
      </w:r>
      <w:proofErr w:type="spellStart"/>
      <w:r w:rsidRPr="00791868">
        <w:rPr>
          <w:rFonts w:ascii="Malgun Gothic" w:eastAsia="Malgun Gothic" w:hAnsi="Malgun Gothic" w:cs="Malgun Gothic" w:hint="eastAsia"/>
          <w:color w:val="222222"/>
          <w:lang w:val="fr-FR"/>
        </w:rPr>
        <w:t>시스템에</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사용할</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경우</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지역별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주소</w:t>
      </w:r>
      <w:proofErr w:type="spellEnd"/>
      <w:r w:rsidRPr="00FF5FE4">
        <w:rPr>
          <w:rFonts w:ascii="Arial" w:hAnsi="Arial" w:cs="Arial"/>
          <w:color w:val="222222"/>
        </w:rPr>
        <w:t xml:space="preserve"> DB </w:t>
      </w:r>
      <w:proofErr w:type="spellStart"/>
      <w:r w:rsidRPr="00791868">
        <w:rPr>
          <w:rFonts w:ascii="Malgun Gothic" w:eastAsia="Malgun Gothic" w:hAnsi="Malgun Gothic" w:cs="Malgun Gothic" w:hint="eastAsia"/>
          <w:color w:val="222222"/>
          <w:lang w:val="fr-FR"/>
        </w:rPr>
        <w:t>사용을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권장</w:t>
      </w:r>
      <w:proofErr w:type="spellEnd"/>
      <w:r w:rsidRPr="00FF5FE4">
        <w:rPr>
          <w:rFonts w:ascii="Arial" w:hAnsi="Arial" w:cs="Arial"/>
          <w:color w:val="222222"/>
        </w:rPr>
        <w:t xml:space="preserve"> (2021.09.03)"]</w:t>
      </w:r>
    </w:p>
    <w:p w14:paraId="37E4AA3F" w14:textId="5A63F8B8" w:rsidR="00791868" w:rsidRPr="00FF5FE4" w:rsidRDefault="00791868" w:rsidP="00E31D1C">
      <w:pPr>
        <w:rPr>
          <w:rFonts w:ascii="Arial" w:hAnsi="Arial" w:cs="Arial"/>
          <w:color w:val="222222"/>
        </w:rPr>
      </w:pPr>
    </w:p>
    <w:p w14:paraId="48498FC6" w14:textId="77777777" w:rsidR="00791868" w:rsidRPr="00FF5FE4" w:rsidRDefault="00791868" w:rsidP="00E31D1C">
      <w:pPr>
        <w:rPr>
          <w:rFonts w:ascii="Arial" w:hAnsi="Arial" w:cs="Arial"/>
          <w:color w:val="222222"/>
        </w:rPr>
      </w:pPr>
    </w:p>
    <w:p w14:paraId="01136FDC" w14:textId="77777777" w:rsidR="00E31D1C" w:rsidRPr="00FF5FE4"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lastRenderedPageBreak/>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15D08CFD" w:rsidR="00E31D1C" w:rsidRDefault="00E31D1C" w:rsidP="00E31D1C">
      <w:pPr>
        <w:rPr>
          <w:rFonts w:ascii="Arial" w:hAnsi="Arial" w:cs="Arial"/>
          <w:color w:val="222222"/>
        </w:rPr>
      </w:pPr>
    </w:p>
    <w:p w14:paraId="7D54B246" w14:textId="1C86DE62" w:rsidR="008E5C9A" w:rsidRDefault="008E5C9A" w:rsidP="008E5C9A">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3548114E" w14:textId="18658CE8" w:rsidR="008E5C9A" w:rsidRPr="0009106A" w:rsidRDefault="008E5C9A" w:rsidP="008E5C9A">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greater than the national average for districts.</w:t>
      </w:r>
    </w:p>
    <w:p w14:paraId="28CCAA24" w14:textId="44539A34" w:rsidR="008E5C9A" w:rsidRPr="0009106A" w:rsidRDefault="008E5C9A" w:rsidP="008E5C9A">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smaller than the national average for districts.</w:t>
      </w:r>
    </w:p>
    <w:p w14:paraId="4EA7E186" w14:textId="5C75F7F2" w:rsidR="008E5C9A" w:rsidRDefault="008E5C9A" w:rsidP="008E5C9A">
      <w:pPr>
        <w:rPr>
          <w:rFonts w:ascii="Arial" w:hAnsi="Arial" w:cs="Arial"/>
          <w:color w:val="222222"/>
        </w:rPr>
      </w:pPr>
    </w:p>
    <w:p w14:paraId="34B5F97F" w14:textId="118DD113" w:rsidR="008E5C9A" w:rsidRDefault="008E5C9A" w:rsidP="008E5C9A">
      <w:pPr>
        <w:rPr>
          <w:rFonts w:ascii="Arial" w:hAnsi="Arial" w:cs="Arial"/>
          <w:color w:val="222222"/>
        </w:rPr>
      </w:pPr>
      <w:r>
        <w:rPr>
          <w:rFonts w:ascii="Arial" w:hAnsi="Arial" w:cs="Arial"/>
          <w:color w:val="222222"/>
        </w:rPr>
        <w:t>determined with: zip code</w:t>
      </w:r>
    </w:p>
    <w:p w14:paraId="7FF6933A" w14:textId="260C2AEF" w:rsidR="008E5C9A" w:rsidRDefault="008E5C9A" w:rsidP="008E5C9A">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 xml:space="preserve">source 1 (which is official data but with a better formatting for our matching) we obtain the District associated to each zip code. From source 2, we obtain the share of rural population and the total population (defined by national statistics) of each district. We then assign districts with a share of rural population greater than the national average (around </w:t>
      </w:r>
      <w:r w:rsidR="00D63E97">
        <w:rPr>
          <w:rFonts w:ascii="Arial" w:hAnsi="Arial" w:cs="Arial"/>
          <w:color w:val="222222"/>
        </w:rPr>
        <w:t>22</w:t>
      </w:r>
      <w:r>
        <w:rPr>
          <w:rFonts w:ascii="Arial" w:hAnsi="Arial" w:cs="Arial"/>
          <w:color w:val="222222"/>
        </w:rPr>
        <w:t xml:space="preserve">%) as rural. We finally merge the two datasets. </w:t>
      </w:r>
    </w:p>
    <w:p w14:paraId="6EF727C1" w14:textId="77777777" w:rsidR="008E5C9A" w:rsidRPr="00180BFD" w:rsidRDefault="008E5C9A" w:rsidP="008E5C9A">
      <w:pPr>
        <w:rPr>
          <w:rFonts w:ascii="Arial" w:hAnsi="Arial" w:cs="Arial"/>
          <w:color w:val="222222"/>
        </w:rPr>
      </w:pPr>
    </w:p>
    <w:p w14:paraId="317B1BF2" w14:textId="230602B2" w:rsidR="008E5C9A" w:rsidRPr="00D63E97" w:rsidRDefault="008E5C9A" w:rsidP="008E5C9A">
      <w:pPr>
        <w:rPr>
          <w:rFonts w:ascii="Calibri" w:hAnsi="Calibri" w:cs="Calibri"/>
          <w:color w:val="000000"/>
        </w:rPr>
      </w:pPr>
      <w:r w:rsidRPr="00D63E97">
        <w:rPr>
          <w:rFonts w:ascii="Arial" w:hAnsi="Arial" w:cs="Arial"/>
          <w:color w:val="222222"/>
        </w:rPr>
        <w:t>source 1: https://github.com/muratgozel/turkey-neighbourhoods</w:t>
      </w:r>
    </w:p>
    <w:p w14:paraId="7CBD7962" w14:textId="60D71F14" w:rsidR="008E5C9A" w:rsidRPr="00D63E97" w:rsidRDefault="008E5C9A" w:rsidP="00E31D1C">
      <w:pPr>
        <w:rPr>
          <w:rFonts w:ascii="Arial" w:hAnsi="Arial" w:cs="Arial"/>
          <w:color w:val="222222"/>
        </w:rPr>
      </w:pPr>
      <w:r w:rsidRPr="00D63E97">
        <w:rPr>
          <w:rFonts w:ascii="Arial" w:hAnsi="Arial" w:cs="Arial"/>
          <w:color w:val="222222"/>
        </w:rPr>
        <w:t xml:space="preserve">source 2: https://biruni.tuik.gov.tr/medas/?kn=95&amp;locale=tr  (ADNKS-GK137474-O29001 İbbs-Düzey1, İbbs-Düzey2, İl </w:t>
      </w:r>
      <w:proofErr w:type="spellStart"/>
      <w:r w:rsidRPr="00D63E97">
        <w:rPr>
          <w:rFonts w:ascii="Arial" w:hAnsi="Arial" w:cs="Arial"/>
          <w:color w:val="222222"/>
        </w:rPr>
        <w:t>Ve</w:t>
      </w:r>
      <w:proofErr w:type="spellEnd"/>
      <w:r w:rsidRPr="00D63E97">
        <w:rPr>
          <w:rFonts w:ascii="Arial" w:hAnsi="Arial" w:cs="Arial"/>
          <w:color w:val="222222"/>
        </w:rPr>
        <w:t xml:space="preserve">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Nüfusları</w:t>
      </w:r>
      <w:proofErr w:type="spellEnd"/>
      <w:r w:rsidRPr="00D63E97">
        <w:rPr>
          <w:rFonts w:ascii="Arial" w:hAnsi="Arial" w:cs="Arial"/>
          <w:color w:val="222222"/>
        </w:rPr>
        <w:t xml:space="preserve"> / 2020 /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Düzeyi</w:t>
      </w:r>
      <w:proofErr w:type="spellEnd"/>
      <w:r w:rsidRPr="00D63E97">
        <w:rPr>
          <w:rFonts w:ascii="Arial" w:hAnsi="Arial" w:cs="Arial"/>
          <w:color w:val="222222"/>
        </w:rPr>
        <w:t xml:space="preserve"> / HEPSI)</w:t>
      </w:r>
    </w:p>
    <w:p w14:paraId="2913F2C2" w14:textId="26C0443F" w:rsidR="008E5C9A" w:rsidRDefault="008E5C9A" w:rsidP="00E31D1C">
      <w:pPr>
        <w:rPr>
          <w:rFonts w:ascii="Arial" w:hAnsi="Arial" w:cs="Arial"/>
          <w:color w:val="222222"/>
        </w:rPr>
      </w:pPr>
    </w:p>
    <w:p w14:paraId="56ABCACC" w14:textId="61829157" w:rsidR="00FF5FE4" w:rsidRDefault="00FF5FE4" w:rsidP="00FF5FE4">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78FE3FB" w14:textId="12FD6907" w:rsidR="00FF5FE4" w:rsidRPr="0009106A" w:rsidRDefault="00FF5FE4" w:rsidP="00FF5FE4">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Living in a</w:t>
      </w:r>
      <w:r>
        <w:rPr>
          <w:rFonts w:ascii="Arial" w:hAnsi="Arial" w:cs="Arial"/>
          <w:i/>
          <w:iCs/>
          <w:color w:val="222222"/>
        </w:rPr>
        <w:t xml:space="preserve"> Village ("</w:t>
      </w:r>
      <w:proofErr w:type="spellStart"/>
      <w:r w:rsidRPr="00FF5FE4">
        <w:rPr>
          <w:rFonts w:ascii="Arial" w:hAnsi="Arial" w:cs="Arial"/>
          <w:i/>
          <w:iCs/>
          <w:color w:val="222222"/>
        </w:rPr>
        <w:t>селах</w:t>
      </w:r>
      <w:proofErr w:type="spellEnd"/>
      <w:r>
        <w:rPr>
          <w:rFonts w:ascii="Arial" w:hAnsi="Arial" w:cs="Arial"/>
          <w:i/>
          <w:iCs/>
          <w:color w:val="222222"/>
        </w:rPr>
        <w:t>") or a settlement ("</w:t>
      </w:r>
      <w:proofErr w:type="spellStart"/>
      <w:r w:rsidRPr="00FF5FE4">
        <w:rPr>
          <w:rFonts w:ascii="Arial" w:hAnsi="Arial" w:cs="Arial"/>
          <w:i/>
          <w:iCs/>
          <w:color w:val="222222"/>
        </w:rPr>
        <w:t>селищах</w:t>
      </w:r>
      <w:proofErr w:type="spellEnd"/>
      <w:r>
        <w:rPr>
          <w:rFonts w:ascii="Arial" w:hAnsi="Arial" w:cs="Arial"/>
          <w:i/>
          <w:iCs/>
          <w:color w:val="222222"/>
        </w:rPr>
        <w:t>")</w:t>
      </w:r>
      <w:r>
        <w:rPr>
          <w:rFonts w:ascii="Arial" w:hAnsi="Arial" w:cs="Arial"/>
          <w:i/>
          <w:iCs/>
          <w:color w:val="222222"/>
        </w:rPr>
        <w:t>.</w:t>
      </w:r>
    </w:p>
    <w:p w14:paraId="0629CEEE" w14:textId="41BDA5F3" w:rsidR="00FF5FE4" w:rsidRPr="0009106A" w:rsidRDefault="00FF5FE4" w:rsidP="00FF5FE4">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Living in a</w:t>
      </w:r>
      <w:r>
        <w:rPr>
          <w:rFonts w:ascii="Arial" w:hAnsi="Arial" w:cs="Arial"/>
          <w:i/>
          <w:iCs/>
          <w:color w:val="222222"/>
        </w:rPr>
        <w:t xml:space="preserve"> City ("</w:t>
      </w:r>
      <w:proofErr w:type="spellStart"/>
      <w:r w:rsidRPr="00FF5FE4">
        <w:rPr>
          <w:rFonts w:ascii="Arial" w:hAnsi="Arial" w:cs="Arial"/>
          <w:i/>
          <w:iCs/>
          <w:color w:val="222222"/>
        </w:rPr>
        <w:t>містах</w:t>
      </w:r>
      <w:proofErr w:type="spellEnd"/>
      <w:r>
        <w:rPr>
          <w:rFonts w:ascii="Arial" w:hAnsi="Arial" w:cs="Arial"/>
          <w:i/>
          <w:iCs/>
          <w:color w:val="222222"/>
        </w:rPr>
        <w:t>") or an Urban settlement ("</w:t>
      </w:r>
      <w:proofErr w:type="spellStart"/>
      <w:r w:rsidRPr="00FF5FE4">
        <w:rPr>
          <w:rFonts w:ascii="Arial" w:hAnsi="Arial" w:cs="Arial"/>
          <w:i/>
          <w:iCs/>
          <w:color w:val="222222"/>
        </w:rPr>
        <w:t>селищах</w:t>
      </w:r>
      <w:proofErr w:type="spellEnd"/>
      <w:r w:rsidRPr="00FF5FE4">
        <w:rPr>
          <w:rFonts w:ascii="Arial" w:hAnsi="Arial" w:cs="Arial"/>
          <w:i/>
          <w:iCs/>
          <w:color w:val="222222"/>
        </w:rPr>
        <w:t xml:space="preserve"> </w:t>
      </w:r>
      <w:proofErr w:type="spellStart"/>
      <w:r w:rsidRPr="00FF5FE4">
        <w:rPr>
          <w:rFonts w:ascii="Arial" w:hAnsi="Arial" w:cs="Arial"/>
          <w:i/>
          <w:iCs/>
          <w:color w:val="222222"/>
        </w:rPr>
        <w:t>міського</w:t>
      </w:r>
      <w:proofErr w:type="spellEnd"/>
      <w:r w:rsidRPr="00FF5FE4">
        <w:rPr>
          <w:rFonts w:ascii="Arial" w:hAnsi="Arial" w:cs="Arial"/>
          <w:i/>
          <w:iCs/>
          <w:color w:val="222222"/>
        </w:rPr>
        <w:t xml:space="preserve"> </w:t>
      </w:r>
      <w:proofErr w:type="spellStart"/>
      <w:r w:rsidRPr="00FF5FE4">
        <w:rPr>
          <w:rFonts w:ascii="Arial" w:hAnsi="Arial" w:cs="Arial"/>
          <w:i/>
          <w:iCs/>
          <w:color w:val="222222"/>
        </w:rPr>
        <w:t>типу</w:t>
      </w:r>
      <w:proofErr w:type="spellEnd"/>
      <w:r>
        <w:rPr>
          <w:rFonts w:ascii="Arial" w:hAnsi="Arial" w:cs="Arial"/>
          <w:i/>
          <w:iCs/>
          <w:color w:val="222222"/>
        </w:rPr>
        <w:t>").</w:t>
      </w:r>
    </w:p>
    <w:p w14:paraId="0CF44386" w14:textId="77777777" w:rsidR="00FF5FE4" w:rsidRDefault="00FF5FE4" w:rsidP="00FF5FE4">
      <w:pPr>
        <w:rPr>
          <w:rFonts w:ascii="Arial" w:hAnsi="Arial" w:cs="Arial"/>
          <w:color w:val="222222"/>
        </w:rPr>
      </w:pPr>
    </w:p>
    <w:p w14:paraId="11CF34F6" w14:textId="77777777" w:rsidR="00FF5FE4" w:rsidRDefault="00FF5FE4" w:rsidP="00FF5FE4">
      <w:pPr>
        <w:rPr>
          <w:rFonts w:ascii="Arial" w:hAnsi="Arial" w:cs="Arial"/>
          <w:color w:val="222222"/>
        </w:rPr>
      </w:pPr>
      <w:r>
        <w:rPr>
          <w:rFonts w:ascii="Arial" w:hAnsi="Arial" w:cs="Arial"/>
          <w:color w:val="222222"/>
        </w:rPr>
        <w:t>determined with: zip code</w:t>
      </w:r>
    </w:p>
    <w:p w14:paraId="552F8D91" w14:textId="018D4BCE" w:rsidR="00FF5FE4" w:rsidRDefault="00FF5FE4" w:rsidP="00FF5FE4">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source 1</w:t>
      </w:r>
      <w:r>
        <w:rPr>
          <w:rFonts w:ascii="Arial" w:hAnsi="Arial" w:cs="Arial"/>
          <w:color w:val="222222"/>
        </w:rPr>
        <w:t>,</w:t>
      </w:r>
      <w:r>
        <w:rPr>
          <w:rFonts w:ascii="Arial" w:hAnsi="Arial" w:cs="Arial"/>
          <w:color w:val="222222"/>
        </w:rPr>
        <w:t xml:space="preserve"> </w:t>
      </w:r>
      <w:r>
        <w:rPr>
          <w:rFonts w:ascii="Arial" w:hAnsi="Arial" w:cs="Arial"/>
          <w:color w:val="222222"/>
        </w:rPr>
        <w:t>we obtain the share of population living in rural areas (defined as our urban category 1) and in urban areas (defined as our urban category 2). From source 2, we obtain the postal code of all localities in Ukraine. The first element in the name of the locality indicates the type of locality (among the four types mentioned above). There is one postal code that covers both urban and rural areas, we categorize it as urban since those localities are in the suburbs of Odessa.</w:t>
      </w:r>
    </w:p>
    <w:p w14:paraId="1C56E977" w14:textId="77777777" w:rsidR="00FF5FE4" w:rsidRPr="00180BFD" w:rsidRDefault="00FF5FE4" w:rsidP="00FF5FE4">
      <w:pPr>
        <w:rPr>
          <w:rFonts w:ascii="Arial" w:hAnsi="Arial" w:cs="Arial"/>
          <w:color w:val="222222"/>
        </w:rPr>
      </w:pPr>
    </w:p>
    <w:tbl>
      <w:tblPr>
        <w:tblW w:w="1300" w:type="dxa"/>
        <w:tblCellMar>
          <w:left w:w="0" w:type="dxa"/>
          <w:right w:w="0" w:type="dxa"/>
        </w:tblCellMar>
        <w:tblLook w:val="04A0" w:firstRow="1" w:lastRow="0" w:firstColumn="1" w:lastColumn="0" w:noHBand="0" w:noVBand="1"/>
      </w:tblPr>
      <w:tblGrid>
        <w:gridCol w:w="7934"/>
      </w:tblGrid>
      <w:tr w:rsidR="00FF5FE4" w:rsidRPr="00FF5FE4" w14:paraId="32E5C354" w14:textId="77777777" w:rsidTr="00FF5FE4">
        <w:trPr>
          <w:trHeight w:val="600"/>
        </w:trPr>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34A4D756" w14:textId="77777777" w:rsidR="00FF5FE4" w:rsidRPr="00FF5FE4" w:rsidRDefault="00FF5FE4">
            <w:pPr>
              <w:rPr>
                <w:rFonts w:ascii="Calibri" w:hAnsi="Calibri" w:cs="Calibri"/>
                <w:color w:val="000000"/>
                <w:sz w:val="22"/>
                <w:szCs w:val="22"/>
                <w:lang w:val="fr-FR"/>
              </w:rPr>
            </w:pPr>
            <w:r w:rsidRPr="00FF5FE4">
              <w:rPr>
                <w:rFonts w:ascii="Arial" w:hAnsi="Arial" w:cs="Arial"/>
                <w:color w:val="222222"/>
                <w:lang w:val="fr-FR"/>
              </w:rPr>
              <w:t xml:space="preserve">source 1: </w:t>
            </w:r>
            <w:r w:rsidRPr="00FF5FE4">
              <w:rPr>
                <w:rFonts w:ascii="Calibri" w:hAnsi="Calibri" w:cs="Calibri"/>
                <w:color w:val="000000"/>
                <w:sz w:val="22"/>
                <w:szCs w:val="22"/>
                <w:lang w:val="fr-FR"/>
              </w:rPr>
              <w:t>http://www.ukrstat.gov.ua/druk/publicat/kat_u/2020/zb/05/zb_chuselnist%202019.pdf</w:t>
            </w:r>
          </w:p>
        </w:tc>
      </w:tr>
    </w:tbl>
    <w:p w14:paraId="63591C8C" w14:textId="600698D7" w:rsidR="00FF5FE4" w:rsidRPr="00FF5FE4" w:rsidRDefault="00FF5FE4" w:rsidP="00FF5FE4">
      <w:pPr>
        <w:rPr>
          <w:rFonts w:ascii="Arial" w:hAnsi="Arial" w:cs="Arial"/>
          <w:color w:val="222222"/>
          <w:lang w:val="fr-FR"/>
        </w:rPr>
      </w:pPr>
      <w:r>
        <w:rPr>
          <w:rFonts w:ascii="Arial" w:hAnsi="Arial" w:cs="Arial"/>
          <w:color w:val="222222"/>
          <w:lang w:val="fr-FR"/>
        </w:rPr>
        <w:t xml:space="preserve">[page 5] </w:t>
      </w:r>
    </w:p>
    <w:p w14:paraId="4D474263" w14:textId="2D6D64F3" w:rsidR="00FF5FE4" w:rsidRPr="00FF5FE4" w:rsidRDefault="00FF5FE4" w:rsidP="00FF5FE4">
      <w:pPr>
        <w:rPr>
          <w:rFonts w:ascii="Calibri" w:hAnsi="Calibri" w:cs="Calibri"/>
          <w:color w:val="000000"/>
          <w:lang w:val="fr-FR"/>
        </w:rPr>
      </w:pPr>
    </w:p>
    <w:p w14:paraId="41CAA6BB" w14:textId="7DF80290" w:rsidR="00FF5FE4" w:rsidRPr="00FF5FE4" w:rsidRDefault="00FF5FE4" w:rsidP="00FF5FE4">
      <w:pPr>
        <w:rPr>
          <w:rFonts w:ascii="Arial" w:hAnsi="Arial" w:cs="Arial"/>
          <w:color w:val="222222"/>
          <w:lang w:val="fr-FR"/>
        </w:rPr>
      </w:pPr>
      <w:r w:rsidRPr="00FF5FE4">
        <w:rPr>
          <w:rFonts w:ascii="Arial" w:hAnsi="Arial" w:cs="Arial"/>
          <w:color w:val="222222"/>
          <w:lang w:val="fr-FR"/>
        </w:rPr>
        <w:t>source 2: https://data.gov.ua/dataset/post-index-and-braches</w:t>
      </w:r>
      <w:r>
        <w:rPr>
          <w:rFonts w:ascii="Arial" w:hAnsi="Arial" w:cs="Arial"/>
          <w:color w:val="222222"/>
          <w:lang w:val="fr-FR"/>
        </w:rPr>
        <w:t xml:space="preserve"> [file: "</w:t>
      </w:r>
      <w:proofErr w:type="spellStart"/>
      <w:r w:rsidRPr="00FF5FE4">
        <w:rPr>
          <w:rFonts w:ascii="Arial" w:hAnsi="Arial" w:cs="Arial"/>
          <w:color w:val="222222"/>
          <w:lang w:val="fr-FR"/>
        </w:rPr>
        <w:t>Відомості</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за</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липень</w:t>
      </w:r>
      <w:proofErr w:type="spellEnd"/>
      <w:r w:rsidRPr="00FF5FE4">
        <w:rPr>
          <w:rFonts w:ascii="Arial" w:hAnsi="Arial" w:cs="Arial"/>
          <w:color w:val="222222"/>
          <w:lang w:val="fr-FR"/>
        </w:rPr>
        <w:t xml:space="preserve"> 2021</w:t>
      </w:r>
      <w:r>
        <w:rPr>
          <w:rFonts w:ascii="Arial" w:hAnsi="Arial" w:cs="Arial"/>
          <w:color w:val="222222"/>
          <w:lang w:val="fr-FR"/>
        </w:rPr>
        <w:t>"]</w:t>
      </w:r>
    </w:p>
    <w:p w14:paraId="3906DD4F" w14:textId="5764F0EC" w:rsidR="00FF5FE4" w:rsidRPr="00FF5FE4" w:rsidRDefault="00FF5FE4" w:rsidP="00E31D1C">
      <w:pPr>
        <w:rPr>
          <w:rFonts w:ascii="Arial" w:hAnsi="Arial" w:cs="Arial"/>
          <w:color w:val="222222"/>
          <w:lang w:val="fr-FR"/>
        </w:rPr>
      </w:pPr>
    </w:p>
    <w:p w14:paraId="567B63AD" w14:textId="77777777" w:rsidR="00FF5FE4" w:rsidRPr="00FF5FE4" w:rsidRDefault="00FF5FE4" w:rsidP="00E31D1C">
      <w:pPr>
        <w:rPr>
          <w:rFonts w:ascii="Arial" w:hAnsi="Arial" w:cs="Arial"/>
          <w:color w:val="222222"/>
          <w:lang w:val="fr-FR"/>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lastRenderedPageBreak/>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0F62F3"/>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91868"/>
    <w:rsid w:val="007A0BAD"/>
    <w:rsid w:val="007C1BB1"/>
    <w:rsid w:val="007E5186"/>
    <w:rsid w:val="00810EDC"/>
    <w:rsid w:val="00827B47"/>
    <w:rsid w:val="00836A1E"/>
    <w:rsid w:val="0083792C"/>
    <w:rsid w:val="00876323"/>
    <w:rsid w:val="008E0FA2"/>
    <w:rsid w:val="008E38A7"/>
    <w:rsid w:val="008E5C9A"/>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461E0"/>
    <w:rsid w:val="00D6362F"/>
    <w:rsid w:val="00D63E97"/>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5FE4"/>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477843860">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56611759">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1495628">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65346408">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35291392">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45319750">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48094537">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3538</Words>
  <Characters>20172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73</cp:revision>
  <dcterms:created xsi:type="dcterms:W3CDTF">2021-07-17T07:00:00Z</dcterms:created>
  <dcterms:modified xsi:type="dcterms:W3CDTF">2021-09-07T12:44:00Z</dcterms:modified>
</cp:coreProperties>
</file>