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8ABA3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SCR控制系统研发技术报告</w:t>
      </w:r>
    </w:p>
    <w:p w14:paraId="2E17004A">
      <w:pPr>
        <w:jc w:val="center"/>
        <w:rPr>
          <w:rFonts w:hint="eastAsia"/>
          <w:lang w:val="en-US" w:eastAsia="zh-CN"/>
        </w:rPr>
      </w:pPr>
    </w:p>
    <w:p w14:paraId="28BDDEBB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47DE03B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SCR脱硝处理系统，全称选择性催化还原系统，是一种用于降低废气中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"https://baike.baidu.com/item/%E6%B0%AE%E6%B0%A7%E5%8C%96%E7%89%A9/2509129?fromModule=lemma_inlink" \t "https://baike.baidu.com/item/SCR%E7%B3%BB%E7%BB%9F/_blank"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氮氧化物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NOx）排放的环保技术。其核心原理是在特定催化剂作用下，向废气中喷入氨或尿素等还原剂，将NOx选择性还原为无害的氮气（N2）和水（H2O）。该系统广泛应用于柴油车、船舶、非道路移动机械等移动源尾气处理，以及燃煤电厂、水泥窑、钢铁厂、垃圾焚烧厂等固定污染源烟气治理，是实现严格排放标准的关键技术，其核心组件包括催化剂、还原剂储存喷射装置及控制系统。</w:t>
      </w:r>
    </w:p>
    <w:p w14:paraId="7B9B20A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该系统在原有系统上做出改进，原系统通过实时检测排气流量来计算最终scr喷射量，在长期的使用中存在以下几方面的问题：</w:t>
      </w:r>
    </w:p>
    <w:p w14:paraId="59CE6AB5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实际工况中，</w:t>
      </w:r>
      <w:r>
        <w:rPr>
          <w:rFonts w:hint="eastAsia"/>
          <w:lang w:val="en-US" w:eastAsia="zh-CN"/>
        </w:rPr>
        <w:t>排气</w:t>
      </w:r>
      <w:r>
        <w:rPr>
          <w:rFonts w:hint="eastAsia"/>
        </w:rPr>
        <w:t>流量与负荷（或喷油量）的关系往往不是完美的直线，尤其是在涡轮增压器介入的前后，流量会发生非线性跳跃。</w:t>
      </w:r>
    </w:p>
    <w:p w14:paraId="2285415C">
      <w:pPr>
        <w:rPr>
          <w:rFonts w:hint="eastAsia"/>
        </w:rPr>
      </w:pPr>
      <w:r>
        <w:rPr>
          <w:rFonts w:hint="eastAsia"/>
        </w:rPr>
        <w:t>如果环境温度从 10°C 变到 35°C，或者海拔升高，即便负荷点不变，排气的体积流量和流速也会发生剧烈变化。这会直接影响催化剂的“空速”（Space Velocity），进而影响氨气的</w:t>
      </w:r>
      <w:r>
        <w:rPr>
          <w:rFonts w:hint="eastAsia"/>
          <w:lang w:val="en-US" w:eastAsia="zh-CN"/>
        </w:rPr>
        <w:t>吸附，导致氨逃逸量增加</w:t>
      </w:r>
      <w:r>
        <w:rPr>
          <w:rFonts w:hint="eastAsia"/>
        </w:rPr>
        <w:t>。</w:t>
      </w:r>
    </w:p>
    <w:p w14:paraId="054A20A4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当设备急加负载时，燃油量瞬间增加，NOx 爆发式产生，但</w:t>
      </w:r>
      <w:r>
        <w:rPr>
          <w:rFonts w:hint="eastAsia"/>
          <w:lang w:val="en-US" w:eastAsia="zh-CN"/>
        </w:rPr>
        <w:t>由于流量检测波动和滞后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只能机械地根据当前的</w:t>
      </w:r>
      <w:r>
        <w:rPr>
          <w:rFonts w:hint="eastAsia"/>
          <w:lang w:val="en-US" w:eastAsia="zh-CN"/>
        </w:rPr>
        <w:t>计算值</w:t>
      </w:r>
      <w:r>
        <w:rPr>
          <w:rFonts w:hint="eastAsia"/>
        </w:rPr>
        <w:t>进行喷射。后果：响应滞后导致短时间内 NOx 严重超标。</w:t>
      </w:r>
    </w:p>
    <w:p w14:paraId="518EBF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当催化剂处理效率降低时系统不具备自我调节功能，会导致过喷，造成氨逃逸。</w:t>
      </w:r>
    </w:p>
    <w:p w14:paraId="787232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3、无法补偿当发动机使用环境改变，</w:t>
      </w:r>
      <w:r>
        <w:t>高海拔、进气温度变化、发动机状态变化导致的标定偏差</w:t>
      </w:r>
      <w:r>
        <w:rPr>
          <w:rFonts w:hint="eastAsia"/>
          <w:lang w:eastAsia="zh-CN"/>
        </w:rPr>
        <w:t>。</w:t>
      </w:r>
    </w:p>
    <w:p w14:paraId="5C8055A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9E25015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系统原理</w:t>
      </w:r>
    </w:p>
    <w:p w14:paraId="162CACFC">
      <w:pPr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新系统控制逻辑结构</w:t>
      </w:r>
    </w:p>
    <w:p w14:paraId="5F952D88">
      <w:pPr>
        <w:jc w:val="center"/>
      </w:pPr>
    </w:p>
    <w:p w14:paraId="4A47C7DF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排放因子功率前馈</w:t>
      </w:r>
    </w:p>
    <w:p w14:paraId="1C76576B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2B75D5DD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进气温度/海拔/空气量修正</w:t>
      </w:r>
    </w:p>
    <w:p w14:paraId="1A4D3C54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49CA89C7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上游 NOx 稳态融合修正</w:t>
      </w:r>
    </w:p>
    <w:p w14:paraId="42C04693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4F762287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基础喷射量</w:t>
      </w:r>
    </w:p>
    <w:p w14:paraId="45AEEFE2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4F20EE27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温度效率/喷射允许/最大喷射限制</w:t>
      </w:r>
    </w:p>
    <w:p w14:paraId="5CD2F9CD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57FD4E98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下游 NOx 模型预测</w:t>
      </w:r>
    </w:p>
    <w:p w14:paraId="3C7B6782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2565628B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NH3 估算与快速限喷</w:t>
      </w:r>
    </w:p>
    <w:p w14:paraId="387EEEC5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5AB619DF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NOx 慢速闭环微调</w:t>
      </w:r>
    </w:p>
    <w:p w14:paraId="1DCAF147">
      <w:pPr>
        <w:ind w:left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037C536C">
      <w:pPr>
        <w:widowControl w:val="0"/>
        <w:numPr>
          <w:ilvl w:val="0"/>
          <w:numId w:val="0"/>
        </w:numPr>
        <w:ind w:left="0" w:leftChars="0" w:firstLine="3780" w:firstLineChars="180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喷射输出</w:t>
      </w:r>
    </w:p>
    <w:p w14:paraId="4C77DF20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技术路线和硬件选型</w:t>
      </w:r>
    </w:p>
    <w:p w14:paraId="52B583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5BF4C5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线路图</w:t>
      </w:r>
    </w:p>
    <w:p w14:paraId="5D7663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328163B7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</w:p>
    <w:p w14:paraId="5194D243">
      <w:pP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为什么功率排放因子作为前馈要优于检测流量？</w:t>
      </w:r>
    </w:p>
    <w:p w14:paraId="6C3C4B4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信号源的“绝对可靠性”</w:t>
      </w:r>
    </w:p>
    <w:p w14:paraId="35D0C8C0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功率信号：无论是通过电流电压计算（发电机组），还是通过转速转矩计算（机械动力），功率信号是直接反映系统能量输出的硬指标。功率稳定，意味着消耗的燃料和产生的NOx总量在一个可预测的范围内。</w:t>
      </w:r>
    </w:p>
    <w:p w14:paraId="4CF601D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逻辑链条更短，误差积累少</w:t>
      </w:r>
    </w:p>
    <w:p w14:paraId="2188979C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在控制算法中，链条越长，误差越大：</w:t>
      </w:r>
    </w:p>
    <w:p w14:paraId="2A51FDFB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流量逻辑：负荷 → 查表流量 → 结合NOx浓度插值 → 喷射量。</w:t>
      </w:r>
    </w:p>
    <w:p w14:paraId="618240F6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排放因子逻辑：功率输出 → 对应g/kWh因子 → 喷射量。</w:t>
      </w:r>
    </w:p>
    <w:p w14:paraId="441B6D1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排放因子直接将“干了多少活”和“该喷多少尿素”挂钩。在传感器（流量计）不可靠的环境下，减少中间变量（流量）的参与，能有效避免“测不准”带来的计算波动。</w:t>
      </w:r>
    </w:p>
    <w:p w14:paraId="475E10E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天然具备“自补偿”能力</w:t>
      </w:r>
    </w:p>
    <w:p w14:paraId="43D331F3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烟气流量受温度影响巨大（热胀冷缩），但质量流量其实是与喷油量（负荷）强相关的。</w:t>
      </w:r>
    </w:p>
    <w:p w14:paraId="769604E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排放因子（g/kWh）本质上是基于能量平衡。</w:t>
      </w:r>
    </w:p>
    <w:p w14:paraId="3E456915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当使用功率作为前馈时，系统对环境扰动（如环境高温导致空气稀薄）的敏感度，通常比一个未经实时修正的“静态流量表”要低。</w:t>
      </w:r>
    </w:p>
    <w:p w14:paraId="3033D90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调试与对标的直观性</w:t>
      </w:r>
    </w:p>
    <w:p w14:paraId="3024EF03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符合法规语言：环保部门检测时，最终看的就是 g/kWh。</w:t>
      </w:r>
    </w:p>
    <w:p w14:paraId="4BB2EE44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易于修正：如果检测发现排放超标 10%，你只需要在对应功率点的排放因子上增加 10% 即可。</w:t>
      </w:r>
    </w:p>
    <w:p w14:paraId="6B8537C6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容错空间：相比于跳动剧烈、难以校准的高温流量信号，功率信号非常平滑，不会导致尿素泵频繁地启停或剧烈调节，延长了执行器的寿命。</w:t>
      </w:r>
    </w:p>
    <w:p w14:paraId="17AF51E6">
      <w:pPr>
        <w:widowControl w:val="0"/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新系统针对催化剂老化和机组使用环境变化做出了应对措施。</w:t>
      </w:r>
    </w:p>
    <w:p w14:paraId="527AFEFC">
      <w:r>
        <w:rPr>
          <w:rFonts w:hint="eastAsia"/>
          <w:lang w:val="en-US" w:eastAsia="zh-CN"/>
        </w:rPr>
        <w:t>1、</w:t>
      </w:r>
      <w:r>
        <w:t>上游 NOx 修正前馈</w:t>
      </w:r>
    </w:p>
    <w:p w14:paraId="5C724460">
      <w:r>
        <w:t>排放因子曲线在标定环境下准确，但遇到高海拔、进气温度变化、发动机老化、燃油差异时会偏。</w:t>
      </w:r>
      <w:r>
        <w:rPr>
          <w:rFonts w:hint="eastAsia"/>
          <w:lang w:val="en-US" w:eastAsia="zh-CN"/>
        </w:rPr>
        <w:t>我们的做法是在软件中设定各种工况下排放因子和上游NOx权重，</w:t>
      </w:r>
      <w:r>
        <w:t>这样可以兼顾响应速度和环境适应性</w:t>
      </w:r>
    </w:p>
    <w:tbl>
      <w:tblPr>
        <w:tblStyle w:val="2"/>
        <w:tblpPr w:leftFromText="180" w:rightFromText="180" w:vertAnchor="text" w:horzAnchor="page" w:tblpX="1791" w:tblpY="298"/>
        <w:tblOverlap w:val="never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1"/>
        <w:gridCol w:w="2307"/>
        <w:gridCol w:w="2605"/>
      </w:tblGrid>
      <w:tr w14:paraId="3784D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3943C6B1">
            <w:r>
              <w:rPr>
                <w:lang w:val="en-US" w:eastAsia="zh-CN"/>
              </w:rPr>
              <w:t>工况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FDDFD51">
            <w:r>
              <w:rPr>
                <w:lang w:val="en-US" w:eastAsia="zh-CN"/>
              </w:rPr>
              <w:t>排放因子权重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56D62FCA">
            <w:r>
              <w:rPr>
                <w:lang w:val="en-US" w:eastAsia="zh-CN"/>
              </w:rPr>
              <w:t>上游 NOx 权重</w:t>
            </w:r>
          </w:p>
        </w:tc>
      </w:tr>
      <w:tr w14:paraId="1DF75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79327017">
            <w:r>
              <w:rPr>
                <w:lang w:val="en-US" w:eastAsia="zh-CN"/>
              </w:rPr>
              <w:t>瞬态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CCAE510">
            <w:r>
              <w:rPr>
                <w:lang w:val="en-US" w:eastAsia="zh-CN"/>
              </w:rPr>
              <w:t>70%~90%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7320E021">
            <w:r>
              <w:rPr>
                <w:lang w:val="en-US" w:eastAsia="zh-CN"/>
              </w:rPr>
              <w:t>10%~30%</w:t>
            </w:r>
          </w:p>
        </w:tc>
      </w:tr>
      <w:tr w14:paraId="000B0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499860C4">
            <w:r>
              <w:rPr>
                <w:lang w:val="en-US" w:eastAsia="zh-CN"/>
              </w:rPr>
              <w:t>稳态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C945352">
            <w:r>
              <w:rPr>
                <w:lang w:val="en-US" w:eastAsia="zh-CN"/>
              </w:rPr>
              <w:t>30%~50%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5BAAB3D7">
            <w:r>
              <w:rPr>
                <w:lang w:val="en-US" w:eastAsia="zh-CN"/>
              </w:rPr>
              <w:t>50%~70%</w:t>
            </w:r>
          </w:p>
        </w:tc>
      </w:tr>
      <w:tr w14:paraId="32AAA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6" w:type="pct"/>
            <w:shd w:val="clear" w:color="auto" w:fill="auto"/>
            <w:vAlign w:val="center"/>
          </w:tcPr>
          <w:p w14:paraId="7CB718D2">
            <w:r>
              <w:rPr>
                <w:lang w:val="en-US" w:eastAsia="zh-CN"/>
              </w:rPr>
              <w:t>上游 NOx 故障/预热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C5CC718">
            <w:r>
              <w:rPr>
                <w:lang w:val="en-US" w:eastAsia="zh-CN"/>
              </w:rPr>
              <w:t>100%</w:t>
            </w:r>
          </w:p>
        </w:tc>
        <w:tc>
          <w:tcPr>
            <w:tcW w:w="1524" w:type="pct"/>
            <w:shd w:val="clear" w:color="auto" w:fill="auto"/>
            <w:vAlign w:val="center"/>
          </w:tcPr>
          <w:p w14:paraId="0B69C4F1">
            <w:r>
              <w:rPr>
                <w:lang w:val="en-US" w:eastAsia="zh-CN"/>
              </w:rPr>
              <w:t>0%</w:t>
            </w:r>
          </w:p>
        </w:tc>
      </w:tr>
    </w:tbl>
    <w:p w14:paraId="06D506DD"/>
    <w:p w14:paraId="29E352F9">
      <w:r>
        <w:t xml:space="preserve">3. </w:t>
      </w:r>
      <w:r>
        <w:rPr>
          <w:rFonts w:hint="eastAsia"/>
          <w:lang w:val="en-US" w:eastAsia="zh-CN"/>
        </w:rPr>
        <w:t>针对催化剂的效率曲线</w:t>
      </w:r>
      <w:r>
        <w:t>建立温度效率模型</w:t>
      </w:r>
    </w:p>
    <w:p w14:paraId="228A3976">
      <w:r>
        <w:t>五个温度点可用：</w:t>
      </w:r>
    </w:p>
    <w:tbl>
      <w:tblPr>
        <w:tblStyle w:val="2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5765"/>
      </w:tblGrid>
      <w:tr w14:paraId="3DB1E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66545D3B">
            <w:r>
              <w:rPr>
                <w:lang w:val="en-US" w:eastAsia="zh-CN"/>
              </w:rPr>
              <w:t>温度点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77B7E2AB">
            <w:r>
              <w:rPr>
                <w:lang w:val="en-US" w:eastAsia="zh-CN"/>
              </w:rPr>
              <w:t>意义</w:t>
            </w:r>
          </w:p>
        </w:tc>
      </w:tr>
      <w:tr w14:paraId="01E9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5A0F36B2">
            <w:r>
              <w:rPr>
                <w:lang w:val="en-US" w:eastAsia="zh-CN"/>
              </w:rPr>
              <w:t>200℃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0AAD25D7">
            <w:r>
              <w:rPr>
                <w:lang w:val="en-US" w:eastAsia="zh-CN"/>
              </w:rPr>
              <w:t>刚进入反应区</w:t>
            </w:r>
          </w:p>
        </w:tc>
      </w:tr>
      <w:tr w14:paraId="1A75F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391C96B4">
            <w:r>
              <w:rPr>
                <w:lang w:val="en-US" w:eastAsia="zh-CN"/>
              </w:rPr>
              <w:t>250℃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1376522B">
            <w:r>
              <w:rPr>
                <w:lang w:val="en-US" w:eastAsia="zh-CN"/>
              </w:rPr>
              <w:t>有效反应区</w:t>
            </w:r>
          </w:p>
        </w:tc>
      </w:tr>
      <w:tr w14:paraId="1B9AA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46E623BE">
            <w:r>
              <w:rPr>
                <w:lang w:val="en-US" w:eastAsia="zh-CN"/>
              </w:rPr>
              <w:t>300℃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1522649C">
            <w:r>
              <w:rPr>
                <w:lang w:val="en-US" w:eastAsia="zh-CN"/>
              </w:rPr>
              <w:t>高效区</w:t>
            </w:r>
          </w:p>
        </w:tc>
      </w:tr>
      <w:tr w14:paraId="42D2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40259081">
            <w:r>
              <w:rPr>
                <w:lang w:val="en-US" w:eastAsia="zh-CN"/>
              </w:rPr>
              <w:t>350℃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6FFC347D">
            <w:r>
              <w:rPr>
                <w:lang w:val="en-US" w:eastAsia="zh-CN"/>
              </w:rPr>
              <w:t>高效稳定区</w:t>
            </w:r>
          </w:p>
        </w:tc>
      </w:tr>
      <w:tr w14:paraId="389DF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9" w:type="pct"/>
            <w:shd w:val="clear" w:color="auto" w:fill="auto"/>
            <w:vAlign w:val="center"/>
          </w:tcPr>
          <w:p w14:paraId="402ECC05">
            <w:r>
              <w:rPr>
                <w:lang w:val="en-US" w:eastAsia="zh-CN"/>
              </w:rPr>
              <w:t>400℃</w:t>
            </w:r>
          </w:p>
        </w:tc>
        <w:tc>
          <w:tcPr>
            <w:tcW w:w="3406" w:type="pct"/>
            <w:shd w:val="clear" w:color="auto" w:fill="auto"/>
            <w:vAlign w:val="center"/>
          </w:tcPr>
          <w:p w14:paraId="7B8EF6A6">
            <w:r>
              <w:rPr>
                <w:lang w:val="en-US" w:eastAsia="zh-CN"/>
              </w:rPr>
              <w:t>高温释放风险区</w:t>
            </w:r>
          </w:p>
        </w:tc>
      </w:tr>
    </w:tbl>
    <w:p w14:paraId="46F0A9D0"/>
    <w:p w14:paraId="30420930">
      <w:pPr>
        <w:rPr>
          <w:rFonts w:hint="default" w:eastAsiaTheme="minorEastAsia"/>
          <w:lang w:val="en-US" w:eastAsia="zh-CN"/>
        </w:rPr>
      </w:pPr>
      <w:r>
        <w:t xml:space="preserve">4. </w:t>
      </w:r>
      <w:r>
        <w:rPr>
          <w:rFonts w:hint="eastAsia"/>
          <w:lang w:val="en-US" w:eastAsia="zh-CN"/>
        </w:rPr>
        <w:t>采用软件算法和</w:t>
      </w:r>
      <w:r>
        <w:t>大陆 NOx 传感器交叉敏感估算 NH₃</w:t>
      </w:r>
      <w:r>
        <w:rPr>
          <w:rFonts w:hint="eastAsia"/>
          <w:lang w:val="en-US" w:eastAsia="zh-CN"/>
        </w:rPr>
        <w:t>监测氨逃逸。</w:t>
      </w:r>
    </w:p>
    <w:p w14:paraId="6C611581">
      <w:r>
        <w:t>你已知大陆 NOx 传感器对 NH₃ 的交叉敏感系数约 0.9~1.0，这可以直接用于工程判断。</w:t>
      </w:r>
    </w:p>
    <w:p w14:paraId="5655434C">
      <w:pPr>
        <w:rPr>
          <w:rFonts w:hint="eastAsia" w:eastAsiaTheme="minorEastAsia"/>
          <w:lang w:eastAsia="zh-CN"/>
        </w:rPr>
      </w:pPr>
      <w:r>
        <w:t>当 NH₃ 估算值超限时</w:t>
      </w:r>
      <w:r>
        <w:rPr>
          <w:rFonts w:hint="eastAsia"/>
          <w:lang w:eastAsia="zh-CN"/>
        </w:rPr>
        <w:t>，</w:t>
      </w:r>
      <w:r>
        <w:t>快速降低禁止 NOx 闭环继续加喷</w:t>
      </w:r>
      <w:r>
        <w:rPr>
          <w:rFonts w:hint="eastAsia"/>
          <w:lang w:eastAsia="zh-CN"/>
        </w:rPr>
        <w:t>。</w:t>
      </w:r>
    </w:p>
    <w:p w14:paraId="26EE1D25"/>
    <w:p w14:paraId="155614B6">
      <w:r>
        <w:t xml:space="preserve">6. </w:t>
      </w:r>
      <w:r>
        <w:rPr>
          <w:rFonts w:hint="eastAsia"/>
          <w:lang w:val="en-US" w:eastAsia="zh-CN"/>
        </w:rPr>
        <w:t>读取发动机ECU实时功率和转速，在负载突变的时候</w:t>
      </w:r>
      <w:r>
        <w:t>降快速限喷</w:t>
      </w:r>
      <w:r>
        <w:rPr>
          <w:rFonts w:hint="eastAsia"/>
          <w:lang w:eastAsia="zh-CN"/>
        </w:rPr>
        <w:t>，</w:t>
      </w:r>
      <w:r>
        <w:t>。因为 NOx 传感器有延迟，不能等下游反馈再减喷。这是现场最有效的防过喷措施之一</w:t>
      </w:r>
    </w:p>
    <w:p w14:paraId="50C8A718"/>
    <w:p w14:paraId="6C3EF83D">
      <w:pPr>
        <w:rPr>
          <w:rFonts w:hint="default" w:eastAsiaTheme="minorEastAsia"/>
          <w:lang w:val="en-US" w:eastAsia="zh-CN"/>
        </w:rPr>
      </w:pPr>
      <w:r>
        <w:t xml:space="preserve">7. </w:t>
      </w:r>
      <w:r>
        <w:rPr>
          <w:rFonts w:hint="eastAsia"/>
          <w:lang w:val="en-US" w:eastAsia="zh-CN"/>
        </w:rPr>
        <w:t>催化剂处理效率标定，软件设计了催化剂处理效率标定，根据标定值使系统工作在催化剂最佳效率状态。也起到检测催化剂老化程度的作用。</w:t>
      </w:r>
    </w:p>
    <w:p w14:paraId="55E6A003"/>
    <w:p w14:paraId="47212DAA">
      <w:pPr>
        <w:jc w:val="left"/>
      </w:pPr>
    </w:p>
    <w:p w14:paraId="4D4C90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CBAC4"/>
    <w:multiLevelType w:val="singleLevel"/>
    <w:tmpl w:val="C78CBA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709"/>
    <w:rsid w:val="004D1709"/>
    <w:rsid w:val="46C757DC"/>
    <w:rsid w:val="79CE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1654</Words>
  <Characters>1788</Characters>
  <Lines>0</Lines>
  <Paragraphs>0</Paragraphs>
  <TotalTime>84</TotalTime>
  <ScaleCrop>false</ScaleCrop>
  <LinksUpToDate>false</LinksUpToDate>
  <CharactersWithSpaces>1843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2026-05-12T03:34:00Z</dcterms:created>
  <dc:creator>毕亚杰</dc:creator>
  <cp:lastModifiedBy>毕亚杰</cp:lastModifiedBy>
  <dcterms:modified xsi:type="dcterms:W3CDTF">2026-05-14T00:45:40Z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B25FEDE02A53449C8D5C0AE9BA7F50B2_11</vt:lpwstr>
  </property>
  <property fmtid="{D5CDD505-2E9C-101B-9397-08002B2CF9AE}" pid="4" name="KSOTemplateDocerSaveRecord">
    <vt:lpwstr>eyJoZGlkIjoiZmM4MjA3YmNjYjFkYzgzNDM3MTQ5NmIzOTc4ZmI1YjUiLCJ1c2VySWQiOiI3ODU2NTcxMTEifQ==</vt:lpwstr>
  </property>
</Properties>
</file>