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5A693">
      <w:pPr>
        <w:rPr>
          <w:rFonts w:hint="eastAsia"/>
        </w:rPr>
      </w:pPr>
      <w:r>
        <w:rPr>
          <w:rFonts w:hint="eastAsia"/>
        </w:rPr>
        <w:t xml:space="preserve"> Cu-SCR 催化剂效率参数分析</w:t>
      </w:r>
    </w:p>
    <w:p w14:paraId="0BD42056">
      <w:pPr>
        <w:rPr>
          <w:rFonts w:hint="eastAsia"/>
        </w:rPr>
      </w:pPr>
    </w:p>
    <w:p w14:paraId="3CBB1622">
      <w:pPr>
        <w:rPr>
          <w:rFonts w:hint="eastAsia"/>
        </w:rPr>
      </w:pPr>
      <w:r>
        <w:rPr>
          <w:rFonts w:hint="eastAsia"/>
        </w:rPr>
        <w:t>一、数据概况</w:t>
      </w:r>
    </w:p>
    <w:p w14:paraId="466D7339">
      <w:pPr>
        <w:rPr>
          <w:rFonts w:hint="eastAsia"/>
        </w:rPr>
      </w:pPr>
    </w:p>
    <w:p w14:paraId="45CA1CFF">
      <w:pPr>
        <w:rPr>
          <w:rFonts w:hint="eastAsia" w:eastAsiaTheme="minorEastAsia"/>
          <w:lang w:eastAsia="zh-CN"/>
        </w:rPr>
      </w:pPr>
      <w:r>
        <w:rPr>
          <w:rFonts w:hint="eastAsia"/>
        </w:rPr>
        <w:t>这份 Excel 是厂家提供的 Cu-SCR（铜基选择性催化还原）催化剂台架测试数据，包含两组对照：</w:t>
      </w:r>
    </w:p>
    <w:p w14:paraId="743D863E">
      <w:pPr>
        <w:rPr>
          <w:rFonts w:hint="eastAsia"/>
        </w:rPr>
      </w:pPr>
      <w:r>
        <w:rPr>
          <w:rFonts w:hint="eastAsia"/>
          <w:lang w:val="en-US" w:eastAsia="zh-CN"/>
        </w:rPr>
        <w:t>实验条件：</w:t>
      </w:r>
      <w:r>
        <w:rPr>
          <w:rFonts w:hint="eastAsia"/>
        </w:rPr>
        <w:t xml:space="preserve">新鲜催化剂（未老化）在 550°C下老化500小时后的催化剂 </w:t>
      </w:r>
    </w:p>
    <w:p w14:paraId="19B7D4FB">
      <w:pPr>
        <w:rPr>
          <w:rFonts w:hint="eastAsia"/>
        </w:rPr>
      </w:pPr>
      <w:r>
        <w:rPr>
          <w:rFonts w:hint="eastAsia"/>
        </w:rPr>
        <w:t>覆盖9个温度点（200~600°C，间隔 50°C）6 个 ANR 值（0.6/0.8/0.9/1.0/1.1/1.3），共 108 组数据。每组记录 NOx 转化率、NH逃逸和 N₂O 生成量。</w:t>
      </w:r>
    </w:p>
    <w:p w14:paraId="69954513">
      <w:pPr>
        <w:rPr>
          <w:rFonts w:hint="eastAsia"/>
        </w:rPr>
      </w:pPr>
    </w:p>
    <w:p w14:paraId="35C30670">
      <w:pPr>
        <w:rPr>
          <w:rFonts w:hint="eastAsia"/>
        </w:rPr>
      </w:pPr>
      <w:r>
        <w:rPr>
          <w:rFonts w:hint="eastAsia"/>
        </w:rPr>
        <w:t xml:space="preserve"> 二、各温度 ANR=1.0 时的核心表现</w:t>
      </w:r>
    </w:p>
    <w:p w14:paraId="1C7F44AE">
      <w:pPr>
        <w:rPr>
          <w:rFonts w:hint="eastAsia"/>
        </w:rPr>
      </w:pPr>
    </w:p>
    <w:p w14:paraId="39D76842">
      <w:pPr>
        <w:rPr>
          <w:rFonts w:hint="eastAsia"/>
        </w:rPr>
      </w:pPr>
      <w:r>
        <w:rPr>
          <w:rFonts w:hint="eastAsia"/>
        </w:rPr>
        <w:t xml:space="preserve">| 温度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| Degreen NOx% | Degreen NH₃ | Aged NOx% | Aged NH₃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效率衰减 |</w:t>
      </w:r>
    </w:p>
    <w:p w14:paraId="4F1F8A9C">
      <w:pPr>
        <w:rPr>
          <w:rFonts w:hint="eastAsia"/>
        </w:rPr>
      </w:pPr>
      <w:r>
        <w:rPr>
          <w:rFonts w:hint="eastAsia"/>
        </w:rPr>
        <w:t>| 200°C | 86.01%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| 10.10 ppm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 74.83%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| 13.08 ppm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| 11.18 |</w:t>
      </w:r>
    </w:p>
    <w:p w14:paraId="08F496A0">
      <w:pPr>
        <w:rPr>
          <w:rFonts w:hint="eastAsia"/>
        </w:rPr>
      </w:pPr>
      <w:r>
        <w:rPr>
          <w:rFonts w:hint="eastAsia"/>
        </w:rPr>
        <w:t xml:space="preserve">| 250°C | 96.14%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3.94 ppm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97.78%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| 4.59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+1.64 |</w:t>
      </w:r>
    </w:p>
    <w:p w14:paraId="763DF322">
      <w:pPr>
        <w:rPr>
          <w:rFonts w:hint="eastAsia"/>
        </w:rPr>
      </w:pPr>
      <w:r>
        <w:rPr>
          <w:rFonts w:hint="eastAsia"/>
        </w:rPr>
        <w:t xml:space="preserve">| 300°C | 96.82%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4.17 ppm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97.62%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| 2.09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+0.80 |</w:t>
      </w:r>
    </w:p>
    <w:p w14:paraId="5BC5CEF9">
      <w:pPr>
        <w:rPr>
          <w:rFonts w:hint="eastAsia"/>
        </w:rPr>
      </w:pPr>
      <w:r>
        <w:rPr>
          <w:rFonts w:hint="eastAsia"/>
        </w:rPr>
        <w:t>| 350°C | 93.74%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2.52 ppm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96.89%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| 4.28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+3.15 |</w:t>
      </w:r>
    </w:p>
    <w:p w14:paraId="4C122049">
      <w:pPr>
        <w:rPr>
          <w:rFonts w:hint="eastAsia"/>
        </w:rPr>
      </w:pPr>
      <w:r>
        <w:rPr>
          <w:rFonts w:hint="eastAsia"/>
        </w:rPr>
        <w:t xml:space="preserve">| 400°C | 93.74%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 2.07 ppm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95.32%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 0.84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+1.58 |</w:t>
      </w:r>
    </w:p>
    <w:p w14:paraId="2C721243">
      <w:pPr>
        <w:rPr>
          <w:rFonts w:hint="eastAsia"/>
        </w:rPr>
      </w:pPr>
      <w:r>
        <w:rPr>
          <w:rFonts w:hint="eastAsia"/>
        </w:rPr>
        <w:t xml:space="preserve">| 450°C | 95.32%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2.73 ppm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| 94.45%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| 0.12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-0.87 |</w:t>
      </w:r>
    </w:p>
    <w:p w14:paraId="36F40D9E">
      <w:pPr>
        <w:rPr>
          <w:rFonts w:hint="eastAsia"/>
        </w:rPr>
      </w:pPr>
      <w:r>
        <w:rPr>
          <w:rFonts w:hint="eastAsia"/>
        </w:rPr>
        <w:t xml:space="preserve">| 500°C | 93.74%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 2.07 ppm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94.71%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 2.55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+0.97 |</w:t>
      </w:r>
    </w:p>
    <w:p w14:paraId="0F229833">
      <w:pPr>
        <w:rPr>
          <w:rFonts w:hint="eastAsia"/>
        </w:rPr>
      </w:pPr>
      <w:r>
        <w:rPr>
          <w:rFonts w:hint="eastAsia"/>
        </w:rPr>
        <w:t>| 550°C | 91.10%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2.87 ppm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 95.10%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| 2.14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+4.00 |</w:t>
      </w:r>
    </w:p>
    <w:p w14:paraId="1FEB15BE">
      <w:pPr>
        <w:rPr>
          <w:rFonts w:hint="eastAsia"/>
        </w:rPr>
      </w:pPr>
      <w:r>
        <w:rPr>
          <w:rFonts w:hint="eastAsia"/>
        </w:rPr>
        <w:t>| 600°C | 87.32%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2.26 ppm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 94.24%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 2.70 ppm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+6.92 |</w:t>
      </w:r>
    </w:p>
    <w:p w14:paraId="05F088B3">
      <w:pPr>
        <w:rPr>
          <w:rFonts w:hint="eastAsia"/>
        </w:rPr>
      </w:pPr>
    </w:p>
    <w:p w14:paraId="3ABC1A55">
      <w:pPr>
        <w:rPr>
          <w:rFonts w:hint="eastAsia"/>
        </w:rPr>
      </w:pPr>
    </w:p>
    <w:p w14:paraId="627A6A16">
      <w:pPr>
        <w:rPr>
          <w:rFonts w:hint="eastAsia"/>
        </w:rPr>
      </w:pPr>
      <w:r>
        <w:rPr>
          <w:rFonts w:hint="eastAsia"/>
        </w:rPr>
        <w:t xml:space="preserve"> 三、关键发现</w:t>
      </w:r>
    </w:p>
    <w:p w14:paraId="059751A3">
      <w:pPr>
        <w:rPr>
          <w:rFonts w:hint="eastAsia"/>
        </w:rPr>
      </w:pPr>
    </w:p>
    <w:p w14:paraId="292AC9C5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发现1：Cu-SCR 的温度窗口偏高</w:t>
      </w:r>
    </w:p>
    <w:p w14:paraId="3B105ACC">
      <w:pPr>
        <w:rPr>
          <w:rFonts w:hint="eastAsia"/>
        </w:rPr>
      </w:pPr>
    </w:p>
    <w:p w14:paraId="656831F0">
      <w:pPr>
        <w:rPr>
          <w:rFonts w:hint="eastAsia"/>
        </w:rPr>
      </w:pPr>
      <w:r>
        <w:rPr>
          <w:rFonts w:hint="eastAsia"/>
        </w:rPr>
        <w:t>Cu-SCR 的活性温度窗口相比传统 V₂O₅-WO₃/TiO₂（钒基）明显偏高：</w:t>
      </w:r>
    </w:p>
    <w:p w14:paraId="72E3AF3A">
      <w:pPr>
        <w:rPr>
          <w:rFonts w:hint="eastAsia"/>
        </w:rPr>
      </w:pPr>
      <w:r>
        <w:rPr>
          <w:rFonts w:hint="eastAsia"/>
        </w:rPr>
        <w:t>200°C：效率不足（Degreen 仅 86%，Aged 仅 75%），不适合作为工作温度</w:t>
      </w:r>
    </w:p>
    <w:p w14:paraId="2EF8E6DD">
      <w:pPr>
        <w:rPr>
          <w:rFonts w:hint="eastAsia"/>
        </w:rPr>
      </w:pPr>
      <w:r>
        <w:rPr>
          <w:rFonts w:hint="eastAsia"/>
        </w:rPr>
        <w:t>最佳区间：300~500°C，NOx 转化率稳定在 93~99%</w:t>
      </w:r>
    </w:p>
    <w:p w14:paraId="03496BDB">
      <w:pPr>
        <w:rPr>
          <w:rFonts w:hint="eastAsia"/>
        </w:rPr>
      </w:pPr>
      <w:r>
        <w:rPr>
          <w:rFonts w:hint="eastAsia"/>
        </w:rPr>
        <w:t>550~600°C：Degreen效率开始下降（高温NH氧化副反应），但Aged后反而改善（老化使活性位点更稳定）</w:t>
      </w:r>
    </w:p>
    <w:p w14:paraId="3820008E">
      <w:pPr>
        <w:rPr>
          <w:rFonts w:hint="eastAsia"/>
        </w:rPr>
      </w:pPr>
    </w:p>
    <w:p w14:paraId="618F1BA6">
      <w:pPr>
        <w:rPr>
          <w:rFonts w:hint="eastAsia"/>
        </w:rPr>
      </w:pPr>
      <w:r>
        <w:rPr>
          <w:rFonts w:hint="eastAsia"/>
          <w:b/>
          <w:bCs/>
          <w:color w:val="FF0000"/>
        </w:rPr>
        <w:t>发现2：老化后的反常现象</w:t>
      </w:r>
      <w:r>
        <w:rPr>
          <w:rFonts w:hint="eastAsia"/>
        </w:rPr>
        <w:t>这是数据中最值得关注的点：</w:t>
      </w:r>
    </w:p>
    <w:p w14:paraId="694BF3D3">
      <w:pPr>
        <w:rPr>
          <w:rFonts w:hint="eastAsia"/>
        </w:rPr>
      </w:pPr>
    </w:p>
    <w:p w14:paraId="15629208">
      <w:pPr>
        <w:rPr>
          <w:rFonts w:hint="eastAsia"/>
        </w:rPr>
      </w:pPr>
      <w:r>
        <w:rPr>
          <w:rFonts w:hint="eastAsia"/>
        </w:rPr>
        <w:t>200°C 老化衰减最严重（-11.18 百分点），说明低温活性位点在高温老化中损失最大</w:t>
      </w:r>
    </w:p>
    <w:p w14:paraId="3F470BDE">
      <w:pPr>
        <w:rPr>
          <w:rFonts w:hint="eastAsia"/>
        </w:rPr>
      </w:pPr>
      <w:r>
        <w:rPr>
          <w:rFonts w:hint="eastAsia"/>
        </w:rPr>
        <w:t>250~600°C 老化后效率反而略升或持平，这在 Cu-SCR 中不罕见——高温水热老化可能清除了部分易脱落的无定形 CuO 团簇，留下了更稳定的孤立 Cu²⁺ 活性位点</w:t>
      </w:r>
    </w:p>
    <w:p w14:paraId="2D1E5DCC">
      <w:pPr>
        <w:rPr>
          <w:rFonts w:hint="eastAsia"/>
        </w:rPr>
      </w:pPr>
      <w:r>
        <w:rPr>
          <w:rFonts w:hint="eastAsia"/>
        </w:rPr>
        <w:t>老化后 NH₃ 逃逸普遍降低（尤其 400~450°C），说明老化后 NH₃吸附容量下降（储氨能力减弱），NH₃ 更多参与反应而非逃逸</w:t>
      </w:r>
    </w:p>
    <w:p w14:paraId="3C009B67">
      <w:pPr>
        <w:rPr>
          <w:rFonts w:hint="eastAsia"/>
          <w:b/>
          <w:bCs/>
        </w:rPr>
      </w:pPr>
    </w:p>
    <w:p w14:paraId="4BB6D79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发现3：N₂O 副产物老化后显著恶化</w:t>
      </w:r>
    </w:p>
    <w:p w14:paraId="3B3534A8">
      <w:pPr>
        <w:rPr>
          <w:rFonts w:hint="eastAsia"/>
        </w:rPr>
      </w:pPr>
    </w:p>
    <w:p w14:paraId="5ACC05B2">
      <w:pPr>
        <w:rPr>
          <w:rFonts w:hint="eastAsia"/>
        </w:rPr>
      </w:pPr>
      <w:r>
        <w:rPr>
          <w:rFonts w:hint="eastAsia"/>
        </w:rPr>
        <w:t xml:space="preserve">| 温度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Degreen N₂O (ppm) | Aged N₂O (ppm) | 增长倍数 |</w:t>
      </w:r>
    </w:p>
    <w:p w14:paraId="4E8F4336">
      <w:pPr>
        <w:rPr>
          <w:rFonts w:hint="eastAsia"/>
        </w:rPr>
      </w:pPr>
      <w:r>
        <w:rPr>
          <w:rFonts w:hint="eastAsia"/>
        </w:rPr>
        <w:t>| 200°C | 15.73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 xml:space="preserve"> | 11.10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0.7x |</w:t>
      </w:r>
    </w:p>
    <w:p w14:paraId="35FEEC6C">
      <w:pPr>
        <w:rPr>
          <w:rFonts w:hint="eastAsia"/>
        </w:rPr>
      </w:pPr>
      <w:r>
        <w:rPr>
          <w:rFonts w:hint="eastAsia"/>
        </w:rPr>
        <w:t>| 300°C | 17.23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 xml:space="preserve"> | 35.97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2.1x |</w:t>
      </w:r>
    </w:p>
    <w:p w14:paraId="76020ED5">
      <w:pPr>
        <w:rPr>
          <w:rFonts w:hint="eastAsia"/>
        </w:rPr>
      </w:pPr>
      <w:r>
        <w:rPr>
          <w:rFonts w:hint="eastAsia"/>
        </w:rPr>
        <w:t xml:space="preserve">| 400°C | 7.30 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</w:rPr>
        <w:t xml:space="preserve">| 24.01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3.3x |</w:t>
      </w:r>
    </w:p>
    <w:p w14:paraId="661E517E">
      <w:pPr>
        <w:rPr>
          <w:rFonts w:hint="eastAsia"/>
        </w:rPr>
      </w:pPr>
      <w:r>
        <w:rPr>
          <w:rFonts w:hint="eastAsia"/>
        </w:rPr>
        <w:t xml:space="preserve">| 500°C | 12.66 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>| 46.54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 xml:space="preserve"> |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3.7x |</w:t>
      </w:r>
    </w:p>
    <w:p w14:paraId="225348F3">
      <w:pPr>
        <w:rPr>
          <w:rFonts w:hint="eastAsia"/>
        </w:rPr>
      </w:pPr>
      <w:r>
        <w:rPr>
          <w:rFonts w:hint="eastAsia"/>
        </w:rPr>
        <w:t>| 600°C | 13.34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 xml:space="preserve"> | 70.19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5.3x |</w:t>
      </w:r>
    </w:p>
    <w:p w14:paraId="259AA12A">
      <w:pPr>
        <w:rPr>
          <w:rFonts w:hint="eastAsia"/>
        </w:rPr>
      </w:pPr>
    </w:p>
    <w:p w14:paraId="62ABC8A0">
      <w:pPr>
        <w:rPr>
          <w:rFonts w:hint="eastAsia"/>
        </w:rPr>
      </w:pPr>
      <w:r>
        <w:rPr>
          <w:rFonts w:hint="eastAsia"/>
        </w:rPr>
        <w:t>老化后 N₂O 生成量在中高温段增长了 2~5 倍，600°C 时达 70 ppm。N₂O 是温室气体（GWP 是 CO₂ 的 273 倍），如果项目有环保考核要求，不建议长期在 &gt;500°C 运行老化后的催化剂。</w:t>
      </w:r>
    </w:p>
    <w:p w14:paraId="73C4963E">
      <w:pPr>
        <w:rPr>
          <w:rFonts w:hint="eastAsia"/>
        </w:rPr>
      </w:pPr>
    </w:p>
    <w:p w14:paraId="1A4ED0B3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发现4：最佳工作窗口</w:t>
      </w:r>
    </w:p>
    <w:p w14:paraId="35E168AB">
      <w:pPr>
        <w:rPr>
          <w:rFonts w:hint="eastAsia"/>
        </w:rPr>
      </w:pPr>
    </w:p>
    <w:p w14:paraId="3A390F3C">
      <w:pPr>
        <w:rPr>
          <w:rFonts w:hint="eastAsia"/>
        </w:rPr>
      </w:pPr>
      <w:r>
        <w:rPr>
          <w:rFonts w:hint="eastAsia"/>
        </w:rPr>
        <w:t>综合 NOx 转化率 ≥90% + NH₃ 逃逸 &lt; 5 ppm：</w:t>
      </w:r>
    </w:p>
    <w:p w14:paraId="18D1A0AD">
      <w:pPr>
        <w:rPr>
          <w:rFonts w:hint="eastAsia"/>
        </w:rPr>
      </w:pPr>
    </w:p>
    <w:p w14:paraId="7B7B9C82">
      <w:pPr>
        <w:rPr>
          <w:rFonts w:hint="eastAsia"/>
        </w:rPr>
      </w:pPr>
      <w:r>
        <w:rPr>
          <w:rFonts w:hint="eastAsia"/>
        </w:rPr>
        <w:t>Degreen 最佳工况 Top 3：</w:t>
      </w:r>
    </w:p>
    <w:p w14:paraId="3E40D834">
      <w:pPr>
        <w:rPr>
          <w:rFonts w:hint="eastAsia"/>
        </w:rPr>
      </w:pPr>
    </w:p>
    <w:p w14:paraId="6FD01069">
      <w:pPr>
        <w:rPr>
          <w:rFonts w:hint="eastAsia"/>
        </w:rPr>
      </w:pPr>
      <w:r>
        <w:rPr>
          <w:rFonts w:hint="eastAsia"/>
        </w:rPr>
        <w:t xml:space="preserve">| 温度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ANR | NOx 转化率 | NH₃ 逃逸 | N₂O |</w:t>
      </w:r>
    </w:p>
    <w:p w14:paraId="278A9D58">
      <w:pPr>
        <w:rPr>
          <w:rFonts w:hint="eastAsia"/>
        </w:rPr>
      </w:pPr>
      <w:r>
        <w:rPr>
          <w:rFonts w:hint="eastAsia"/>
        </w:rPr>
        <w:t xml:space="preserve">| 600°C | 1.3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95.77%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| 1.96 ppm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| 14.24 |</w:t>
      </w:r>
    </w:p>
    <w:p w14:paraId="3698CA70">
      <w:pPr>
        <w:rPr>
          <w:rFonts w:hint="eastAsia"/>
        </w:rPr>
      </w:pPr>
      <w:r>
        <w:rPr>
          <w:rFonts w:hint="eastAsia"/>
        </w:rPr>
        <w:t xml:space="preserve">| 500°C | 1.0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93.74%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| 2.07 ppm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| 12.66 |</w:t>
      </w:r>
    </w:p>
    <w:p w14:paraId="3B3341F2">
      <w:pPr>
        <w:rPr>
          <w:rFonts w:hint="eastAsia"/>
        </w:rPr>
      </w:pPr>
      <w:r>
        <w:rPr>
          <w:rFonts w:hint="eastAsia"/>
        </w:rPr>
        <w:t xml:space="preserve">| 450°C | 1.0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9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5.32%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| 2.73 ppm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| 9.48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</w:t>
      </w:r>
    </w:p>
    <w:p w14:paraId="04FBFD82">
      <w:pPr>
        <w:rPr>
          <w:rFonts w:hint="eastAsia"/>
        </w:rPr>
      </w:pPr>
    </w:p>
    <w:p w14:paraId="504AF478">
      <w:pPr>
        <w:rPr>
          <w:rFonts w:hint="eastAsia"/>
        </w:rPr>
      </w:pPr>
      <w:r>
        <w:rPr>
          <w:rFonts w:hint="eastAsia"/>
        </w:rPr>
        <w:t>Aged 最佳工况 Top 3：</w:t>
      </w:r>
    </w:p>
    <w:p w14:paraId="2DA4787B">
      <w:pPr>
        <w:rPr>
          <w:rFonts w:hint="eastAsia"/>
        </w:rPr>
      </w:pPr>
    </w:p>
    <w:p w14:paraId="7716A082">
      <w:pPr>
        <w:rPr>
          <w:rFonts w:hint="eastAsia"/>
        </w:rPr>
      </w:pPr>
      <w:r>
        <w:rPr>
          <w:rFonts w:hint="eastAsia"/>
        </w:rPr>
        <w:t xml:space="preserve">| 温度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ANR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NOx 转化率 | NH₃逃逸 | N₂O |</w:t>
      </w:r>
    </w:p>
    <w:p w14:paraId="3EB4B397">
      <w:pPr>
        <w:rPr>
          <w:rFonts w:hint="eastAsia"/>
        </w:rPr>
      </w:pPr>
      <w:r>
        <w:rPr>
          <w:rFonts w:hint="eastAsia"/>
        </w:rPr>
        <w:t xml:space="preserve">| 450°C | 1.0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94.45%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| 0.12 ppm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| 31.93 |</w:t>
      </w:r>
    </w:p>
    <w:p w14:paraId="304F848E">
      <w:pPr>
        <w:rPr>
          <w:rFonts w:hint="eastAsia"/>
        </w:rPr>
      </w:pPr>
      <w:r>
        <w:rPr>
          <w:rFonts w:hint="eastAsia"/>
        </w:rPr>
        <w:t xml:space="preserve">| 400°C | 1.0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| 95.32%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 0.84 ppm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| 24.01 |</w:t>
      </w:r>
    </w:p>
    <w:p w14:paraId="7897AC07">
      <w:pPr>
        <w:rPr>
          <w:rFonts w:hint="eastAsia"/>
        </w:rPr>
      </w:pPr>
      <w:r>
        <w:rPr>
          <w:rFonts w:hint="eastAsia"/>
        </w:rPr>
        <w:t>| 300°C | 1.0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| 97.62%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| 2.09 ppm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35.97 |</w:t>
      </w:r>
    </w:p>
    <w:p w14:paraId="11D9474B">
      <w:pPr>
        <w:rPr>
          <w:rFonts w:hint="eastAsia"/>
        </w:rPr>
      </w:pPr>
    </w:p>
    <w:p w14:paraId="3215B58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四、对</w:t>
      </w:r>
      <w:r>
        <w:rPr>
          <w:rFonts w:hint="eastAsia"/>
          <w:lang w:val="en-US" w:eastAsia="zh-CN"/>
        </w:rPr>
        <w:t>目前</w:t>
      </w:r>
      <w:r>
        <w:rPr>
          <w:rFonts w:hint="eastAsia"/>
        </w:rPr>
        <w:t>项目的实际</w:t>
      </w:r>
      <w:r>
        <w:rPr>
          <w:rFonts w:hint="eastAsia"/>
          <w:lang w:val="en-US" w:eastAsia="zh-CN"/>
        </w:rPr>
        <w:t>意义</w:t>
      </w:r>
    </w:p>
    <w:p w14:paraId="596E7DB8">
      <w:pPr>
        <w:rPr>
          <w:rFonts w:hint="eastAsia"/>
        </w:rPr>
      </w:pPr>
    </w:p>
    <w:p w14:paraId="5E676EA0">
      <w:pPr>
        <w:rPr>
          <w:rFonts w:hint="eastAsia"/>
        </w:rPr>
      </w:pPr>
      <w:r>
        <w:rPr>
          <w:rFonts w:hint="eastAsia"/>
        </w:rPr>
        <w:t>1. 温度控制目标：测温控制在 300~500°C 范围内，这是综合转化率和氨逃逸的最优窗口</w:t>
      </w:r>
    </w:p>
    <w:p w14:paraId="53028825">
      <w:pPr>
        <w:rPr>
          <w:rFonts w:hint="eastAsia"/>
        </w:rPr>
      </w:pPr>
      <w:r>
        <w:rPr>
          <w:rFonts w:hint="eastAsia"/>
        </w:rPr>
        <w:t>2. ANR 控制策略：以ANR=1.0 为基准，通过后反馈PID微调（±0.1~0.2 范围）</w:t>
      </w:r>
    </w:p>
    <w:p w14:paraId="7FDAA3AC">
      <w:pPr>
        <w:rPr>
          <w:rFonts w:hint="eastAsia"/>
        </w:rPr>
      </w:pPr>
      <w:r>
        <w:rPr>
          <w:rFonts w:hint="eastAsia"/>
        </w:rPr>
        <w:t>3. 低温保护：&lt;250°C 停止喷射（效率不够且氨逃逸大）</w:t>
      </w:r>
    </w:p>
    <w:p w14:paraId="61FA3012">
      <w:pPr>
        <w:rPr>
          <w:rFonts w:hint="eastAsia"/>
        </w:rPr>
      </w:pPr>
      <w:r>
        <w:rPr>
          <w:rFonts w:hint="eastAsia"/>
        </w:rPr>
        <w:t>4. 高温注意：&gt;500°C 老化后 N₂O 剧增，上限设 500°C</w:t>
      </w:r>
    </w:p>
    <w:p w14:paraId="6119D6D5">
      <w:pPr>
        <w:rPr>
          <w:rFonts w:hint="eastAsia"/>
        </w:rPr>
      </w:pPr>
      <w:r>
        <w:rPr>
          <w:rFonts w:hint="eastAsia"/>
        </w:rPr>
        <w:t>5. 老化裕量设计：200°C 老化后衰减最严重，如果设备经常冷启动或低温运行，按 Aged 数据来设计初始尿素喷射量</w:t>
      </w:r>
      <w:bookmarkStart w:id="0" w:name="_GoBack"/>
      <w:bookmarkEnd w:id="0"/>
    </w:p>
    <w:p w14:paraId="769A5862">
      <w:pPr>
        <w:rPr>
          <w:rFonts w:hint="eastAsia"/>
        </w:rPr>
      </w:pPr>
    </w:p>
    <w:p w14:paraId="7600A7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DA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2026-04-29T01:46:52Z</dcterms:created>
  <dc:creator>Administrator</dc:creator>
  <cp:lastModifiedBy>毕亚杰</cp:lastModifiedBy>
  <dcterms:modified xsi:type="dcterms:W3CDTF">2026-04-29T02:17:23Z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F66D842F80184CF49F3ABA3281FCA03E_12</vt:lpwstr>
  </property>
</Properties>
</file>