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F61DE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3B3B3B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3B3B3B"/>
          <w:spacing w:val="0"/>
          <w:sz w:val="32"/>
          <w:szCs w:val="32"/>
          <w:shd w:val="clear" w:fill="FFFFFF"/>
          <w:lang w:val="en-US" w:eastAsia="zh-CN"/>
        </w:rPr>
        <w:t>SCR系统混合气体对催化剂温度的影响分析</w:t>
      </w:r>
    </w:p>
    <w:p w14:paraId="772B17EF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15"/>
          <w:szCs w:val="15"/>
          <w:shd w:val="clear" w:fill="FFFFFF"/>
          <w:lang w:val="en-US" w:eastAsia="zh-CN" w:bidi="ar"/>
        </w:rPr>
        <w:t>在scr系统中，雾化后的尿素和压缩空气、烟气的混合气体进入催化剂，会导致催化剂温度下降，由于催化剂效率受温度影响较大，所以分析监测这个温度很重要。在传统的系统设计中通常在催化剂前后各设置一个测试点。温度传感器的安装位置并没有经过严格的计算，导致测试存在一些较大的误差。在新系统设计中只有一个温度传感器，所以做一个分析很有必要。</w:t>
      </w:r>
    </w:p>
    <w:p w14:paraId="5AFB47AB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  <w:lang w:eastAsia="zh-CN"/>
        </w:rPr>
        <w:drawing>
          <wp:inline distT="0" distB="0" distL="114300" distR="114300">
            <wp:extent cx="5272405" cy="3418840"/>
            <wp:effectExtent l="0" t="0" r="635" b="10160"/>
            <wp:docPr id="1" name="图片 1" descr="捕获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捕获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257C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冷区成因分析</w:t>
      </w:r>
    </w:p>
    <w:p w14:paraId="7E6166D1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在SCR系统设计中非常关键。冷区的形成有两个叠加效应：</w:t>
      </w:r>
    </w:p>
    <w:p w14:paraId="7FE88AA3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① 尿素水解的吸热反应</w:t>
      </w:r>
    </w:p>
    <w:p w14:paraId="455919DF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8F8F8"/>
        <w:spacing w:before="0" w:beforeAutospacing="0" w:after="0" w:afterAutospacing="0"/>
        <w:ind w:left="0" w:right="0"/>
      </w:pPr>
      <w:r>
        <w:rPr>
          <w:rStyle w:val="8"/>
          <w:i w:val="0"/>
          <w:iCs w:val="0"/>
          <w:caps w:val="0"/>
          <w:color w:val="3B3B3B"/>
          <w:spacing w:val="0"/>
          <w:shd w:val="clear" w:fill="F8F8F8"/>
        </w:rPr>
        <w:t>CO(NH₂)₂（尿素） + H₂O → 2NH₃ + CO₂    ΔH = + ①150 kJ/mol（水解吸热）</w:t>
      </w:r>
    </w:p>
    <w:p w14:paraId="2CB3A4A9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尿素从液态裂解为氨气需要吸收大量热量，这个过程在喷入烟气后不是瞬间完成的——它需要一定的温度（&gt;180°C）和停留时间。雾化液滴在裂解过程中持续从烟气吸热，导致局部温度下降。</w:t>
      </w:r>
    </w:p>
    <w:p w14:paraId="6A5CC5EF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② 冷尿素液滴的物理显热吸收</w:t>
      </w:r>
    </w:p>
    <w:p w14:paraId="0849D06A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AdBlue（32.5%尿素溶液）初始温度约为环境温度（20</w:t>
      </w:r>
      <w:r>
        <w:rPr>
          <w:rFonts w:hint="eastAsia" w:ascii="Segoe UI" w:hAnsi="Segoe UI" w:eastAsia="宋体" w:cs="Segoe UI"/>
          <w:i w:val="0"/>
          <w:iCs w:val="0"/>
          <w:caps w:val="0"/>
          <w:strike/>
          <w:color w:val="3B3B3B"/>
          <w:spacing w:val="0"/>
          <w:sz w:val="15"/>
          <w:szCs w:val="15"/>
          <w:shd w:val="clear" w:fill="FFFFFF"/>
          <w:lang w:val="en-US" w:eastAsia="zh-CN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 xml:space="preserve">50°C </w:t>
      </w:r>
      <w:r>
        <w:rPr>
          <w:rFonts w:hint="eastAsia" w:ascii="Segoe UI" w:hAnsi="Segoe UI" w:eastAsia="宋体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  <w:lang w:eastAsia="zh-CN"/>
        </w:rPr>
        <w:t>）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的高温烟气混合时，大量热量用于：</w:t>
      </w:r>
    </w:p>
    <w:p w14:paraId="7D7FD19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液体升温（20°C → 沸点 ~103°C）</w:t>
      </w:r>
    </w:p>
    <w:p w14:paraId="2BB6767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水分蒸发（吸热 ~2260 kJ/kg）</w:t>
      </w:r>
    </w:p>
    <w:p w14:paraId="3D65B45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尿素热解</w:t>
      </w:r>
    </w:p>
    <w:p w14:paraId="3959368C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冷区温度降幅估算（量级）：</w:t>
      </w:r>
    </w:p>
    <w:tbl>
      <w:tblPr>
        <w:tblStyle w:val="5"/>
        <w:tblW w:w="4998" w:type="pct"/>
        <w:tblInd w:w="0" w:type="dxa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1"/>
        <w:gridCol w:w="4161"/>
        <w:gridCol w:w="1227"/>
      </w:tblGrid>
      <w:tr w14:paraId="7ACFF73F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92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BE1C4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来源</w:t>
            </w:r>
          </w:p>
        </w:tc>
        <w:tc>
          <w:tcPr>
            <w:tcW w:w="2476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4ACC4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估算吸热量</w:t>
            </w:r>
          </w:p>
        </w:tc>
        <w:tc>
          <w:tcPr>
            <w:tcW w:w="73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8D485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备注</w:t>
            </w:r>
          </w:p>
        </w:tc>
      </w:tr>
      <w:tr w14:paraId="5767A34B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2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7732D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尿素液滴从20°C升至103°C</w:t>
            </w:r>
          </w:p>
        </w:tc>
        <w:tc>
          <w:tcPr>
            <w:tcW w:w="2476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1CF6B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Q₁ = 0.026 kg/s × 4.18 kJ/(kg·K) × 83K ≈ 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9.0 kW</w:t>
            </w:r>
          </w:p>
        </w:tc>
        <w:tc>
          <w:tcPr>
            <w:tcW w:w="73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7C1AE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显热</w:t>
            </w:r>
          </w:p>
        </w:tc>
      </w:tr>
      <w:tr w14:paraId="68C21587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2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922D1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水分蒸发</w:t>
            </w:r>
          </w:p>
        </w:tc>
        <w:tc>
          <w:tcPr>
            <w:tcW w:w="2476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08005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Q₂ = 0.026 kg/s × 67.5% × 2260 kJ/kg ≈ 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39.6 kW</w:t>
            </w:r>
          </w:p>
        </w:tc>
        <w:tc>
          <w:tcPr>
            <w:tcW w:w="73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E0AB5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潜热（主因）</w:t>
            </w:r>
          </w:p>
        </w:tc>
      </w:tr>
      <w:tr w14:paraId="18C41EF2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2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DE1CE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尿素热解吸热</w:t>
            </w:r>
          </w:p>
        </w:tc>
        <w:tc>
          <w:tcPr>
            <w:tcW w:w="2476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F05F5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Q₃ ≈ 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4~8 kW</w:t>
            </w:r>
          </w:p>
        </w:tc>
        <w:tc>
          <w:tcPr>
            <w:tcW w:w="73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B0208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化学反应热</w:t>
            </w:r>
          </w:p>
        </w:tc>
      </w:tr>
      <w:tr w14:paraId="2A2FBA9A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2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5ED1D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合计</w:t>
            </w:r>
          </w:p>
        </w:tc>
        <w:tc>
          <w:tcPr>
            <w:tcW w:w="2476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06C76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57 kW</w:t>
            </w:r>
          </w:p>
        </w:tc>
        <w:tc>
          <w:tcPr>
            <w:tcW w:w="73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4EADF9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</w:p>
        </w:tc>
      </w:tr>
      <w:tr w14:paraId="7920DA86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2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F350D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烟气总热容（~320°C, 5 Nm³/min）</w:t>
            </w:r>
          </w:p>
        </w:tc>
        <w:tc>
          <w:tcPr>
            <w:tcW w:w="2476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540CD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≈ 5.4 kW/K × ΔT</w:t>
            </w:r>
          </w:p>
        </w:tc>
        <w:tc>
          <w:tcPr>
            <w:tcW w:w="73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6C31B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—</w:t>
            </w:r>
          </w:p>
        </w:tc>
      </w:tr>
    </w:tbl>
    <w:p w14:paraId="3989B2B8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估算冷区局部温降：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ΔT ≈ 52 kW / 5.4 kW/K ≈ 9~10°C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（稀释流场平均值）</w:t>
      </w:r>
    </w:p>
    <w:p w14:paraId="2FAD9DEA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但喷射锥核心区域的局部瞬时温降可达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70~100°C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，将催化剂局部温度从 320°C 拉低至 150~250°C——恰好落入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180~250°C 的硫酸铵盐（(NH₄)₂SO₄）最易生成温度区间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，这是最危险的区域。</w:t>
      </w:r>
    </w:p>
    <w:p w14:paraId="27D4258E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策略① 控制喷射位置（最根本）</w:t>
      </w:r>
    </w:p>
    <w:p w14:paraId="63BB44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-360" w:leftChars="0" w:right="0" w:right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喷射点应布置在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催化剂上游 300~500 mm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，让尿素有足够的雾化、裂解、混合路径，在进入催化剂前已充分气化</w:t>
      </w:r>
    </w:p>
    <w:p w14:paraId="73B7D2C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-360" w:leftChars="0" w:right="0" w:right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喷嘴轴线与烟气流向夹角 ≤ 15°，避免液滴直接撞击催化剂面</w:t>
      </w:r>
    </w:p>
    <w:p w14:paraId="1E73F6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-360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在喷射点上游 50~100 mm 处设置静态混合器（如波纹板），增强气液掺混</w:t>
      </w:r>
    </w:p>
    <w:p w14:paraId="05418F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-360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策略② 预热尿素溶液</w:t>
      </w:r>
    </w:p>
    <w:p w14:paraId="56B218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Chars="0" w:right="0" w:right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将尿素罐温度维持在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30~50°C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（电加热带恒温控制）</w:t>
      </w:r>
    </w:p>
    <w:p w14:paraId="5309747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Chars="0" w:right="0" w:right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好处：减少液滴从烟气吸收的显热，缩小蒸发时间窗口</w:t>
      </w:r>
    </w:p>
    <w:p w14:paraId="7E8658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同时降低溶液粘度（@50°C μ≈0.4 mPa·s），改善雾化质量</w:t>
      </w:r>
    </w:p>
    <w:p w14:paraId="5898BB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-360" w:leftChars="0" w:right="0" w:rightChars="0"/>
        <w:rPr>
          <w:rStyle w:val="7"/>
          <w:rFonts w:hint="default" w:ascii="Segoe UI" w:hAnsi="Segoe UI" w:eastAsia="宋体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策略③ 催化剂前的温度保护</w:t>
      </w:r>
    </w:p>
    <w:p w14:paraId="6660DC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-360" w:leftChars="0" w:right="0" w:right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在催化剂入口前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100 mm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 处布置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热电偶 T₁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，作为喷射量修正的前馈信号</w:t>
      </w:r>
    </w:p>
    <w:p w14:paraId="2ED1C1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-360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当 T₁ &lt; 250°C 时，自动减少尿素喷射量（防止冷区恶化）</w:t>
      </w:r>
    </w:p>
    <w:p w14:paraId="23A3B4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-360" w:leftChars="0" w:right="0" w:rightChars="0"/>
        <w:jc w:val="both"/>
        <w:rPr>
          <w:rFonts w:hint="default" w:ascii="Segoe UI" w:hAnsi="Segoe UI" w:eastAsia="宋体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  <w:lang w:val="en-US" w:eastAsia="zh-CN"/>
        </w:rPr>
        <w:t>目前我们的项目催化剂特性如下表：</w:t>
      </w:r>
    </w:p>
    <w:p w14:paraId="01798A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-360" w:leftChars="0" w:right="0" w:rightChars="0"/>
        <w:jc w:val="center"/>
        <w:rPr>
          <w:rFonts w:hint="default" w:ascii="Segoe UI" w:hAnsi="Segoe UI" w:eastAsia="宋体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  <w:lang w:val="en-US" w:eastAsia="zh-CN"/>
        </w:rPr>
        <w:t>：</w:t>
      </w:r>
      <w:r>
        <w:rPr>
          <w:rFonts w:hint="default" w:ascii="Segoe UI" w:hAnsi="Segoe UI" w:eastAsia="宋体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  <w:lang w:val="en-US" w:eastAsia="zh-CN"/>
        </w:rPr>
        <w:drawing>
          <wp:inline distT="0" distB="0" distL="114300" distR="114300">
            <wp:extent cx="3426460" cy="3253105"/>
            <wp:effectExtent l="0" t="0" r="2540" b="8255"/>
            <wp:docPr id="2" name="图片 2" descr="捕获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捕获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646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CA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-360" w:leftChars="0" w:right="0" w:rightChars="0"/>
        <w:jc w:val="both"/>
        <w:rPr>
          <w:rFonts w:hint="eastAsia" w:ascii="Segoe UI" w:hAnsi="Segoe UI" w:eastAsia="宋体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  <w:lang w:val="en-US" w:eastAsia="zh-CN"/>
        </w:rPr>
        <w:t>可以看到，如果设定250度启喷的话，极有可能造成过喷，因为一旦启喷后，温度会被拉低30-50度，使催化剂工作在低效率区，造成过喷。</w:t>
      </w:r>
    </w:p>
    <w:p w14:paraId="3475FD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-360" w:leftChars="0" w:right="0" w:rightChars="0"/>
        <w:jc w:val="both"/>
        <w:rPr>
          <w:rFonts w:hint="default" w:ascii="Segoe UI" w:hAnsi="Segoe UI" w:eastAsia="宋体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  <w:lang w:val="en-US" w:eastAsia="zh-CN"/>
        </w:rPr>
        <w:t>最佳的方式是在催化剂中间安装温度传感器，可以精确的建立催化剂的温度模型。使催化剂工作在最佳温度区域。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1E2749"/>
    <w:multiLevelType w:val="multilevel"/>
    <w:tmpl w:val="FC1E27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223AD7"/>
    <w:rsid w:val="53C25DBF"/>
    <w:rsid w:val="6668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926</Words>
  <Characters>1160</Characters>
  <Lines>0</Lines>
  <Paragraphs>0</Paragraphs>
  <TotalTime>34</TotalTime>
  <ScaleCrop>false</ScaleCrop>
  <LinksUpToDate>false</LinksUpToDate>
  <CharactersWithSpaces>1250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2026-05-20T01:19:00Z</dcterms:created>
  <dc:creator>Administrator</dc:creator>
  <cp:lastModifiedBy>毕亚杰</cp:lastModifiedBy>
  <dcterms:modified xsi:type="dcterms:W3CDTF">2026-05-20T03:13:03Z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eyJoZGlkIjoiZmM4MjA3YmNjYjFkYzgzNDM3MTQ5NmIzOTc4ZmI1YjUiLCJ1c2VySWQiOiI3ODU2NTcxMTEifQ==</vt:lpwstr>
  </property>
  <property fmtid="{D5CDD505-2E9C-101B-9397-08002B2CF9AE}" pid="4" name="ICV">
    <vt:lpwstr>8F57F6AF8B384E12BD4BB0381F352F54_12</vt:lpwstr>
  </property>
</Properties>
</file>