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E9FFF0">
      <w:pPr>
        <w:jc w:val="center"/>
        <w:rPr>
          <w:rFonts w:hint="eastAsia"/>
          <w:sz w:val="32"/>
          <w:szCs w:val="32"/>
          <w:lang w:val="en-US" w:eastAsia="zh-CN"/>
        </w:rPr>
      </w:pPr>
      <w:r>
        <w:rPr>
          <w:rFonts w:hint="default"/>
          <w:sz w:val="32"/>
          <w:szCs w:val="32"/>
        </w:rPr>
        <w:t>气助式尿素喷射长管路误差</w:t>
      </w:r>
      <w:r>
        <w:rPr>
          <w:rFonts w:hint="eastAsia"/>
          <w:sz w:val="32"/>
          <w:szCs w:val="32"/>
          <w:lang w:val="en-US" w:eastAsia="zh-CN"/>
        </w:rPr>
        <w:t>分析</w:t>
      </w:r>
    </w:p>
    <w:p w14:paraId="28F0869B">
      <w:pPr>
        <w:jc w:val="center"/>
        <w:rPr>
          <w:rFonts w:hint="eastAsia"/>
          <w:lang w:val="en-US" w:eastAsia="zh-CN"/>
        </w:rPr>
      </w:pPr>
    </w:p>
    <w:p w14:paraId="6A28CF68">
      <w:pPr>
        <w:rPr>
          <w:rFonts w:hint="default"/>
        </w:rPr>
      </w:pPr>
      <w:r>
        <w:rPr>
          <w:rFonts w:hint="default"/>
        </w:rPr>
        <w:t>一、核心问题本质</w:t>
      </w:r>
    </w:p>
    <w:p w14:paraId="35C4658A">
      <w:pPr>
        <w:rPr>
          <w:rFonts w:hint="default"/>
          <w:lang w:val="en-US" w:eastAsia="zh-CN"/>
        </w:rPr>
      </w:pPr>
      <w:r>
        <w:rPr>
          <w:rFonts w:hint="default"/>
        </w:rPr>
        <w:t>气助式系统的喷射量计量依据是泵端的流量计或阀门开启时间，但实际喷出到排气管的尿素量取决于喷嘴端的流量。</w:t>
      </w:r>
      <w:r>
        <w:rPr>
          <w:rFonts w:hint="eastAsia"/>
          <w:lang w:val="en-US" w:eastAsia="zh-CN"/>
        </w:rPr>
        <w:t>喷头和泵</w:t>
      </w:r>
      <w:r>
        <w:rPr>
          <w:rFonts w:hint="default"/>
        </w:rPr>
        <w:t>两者之间夹着一段充满液体的管路，这就是误差的根源。</w:t>
      </w:r>
      <w:r>
        <w:rPr>
          <w:rFonts w:hint="eastAsia"/>
          <w:lang w:val="en-US" w:eastAsia="zh-CN"/>
        </w:rPr>
        <w:t>如果管路比较长的话，这个误差可以很大。据估算：</w:t>
      </w:r>
    </w:p>
    <w:tbl>
      <w:tblPr>
        <w:tblW w:w="4998" w:type="pct"/>
        <w:tblInd w:w="0" w:type="dxa"/>
        <w:tblBorders>
          <w:top w:val="single" w:color="D0D7DE" w:sz="4" w:space="0"/>
          <w:left w:val="single" w:color="D0D7DE" w:sz="4" w:space="0"/>
          <w:bottom w:val="single" w:color="D0D7DE" w:sz="4" w:space="0"/>
          <w:right w:val="single" w:color="D0D7DE" w:sz="4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99"/>
        <w:gridCol w:w="2800"/>
        <w:gridCol w:w="2800"/>
      </w:tblGrid>
      <w:tr w14:paraId="273092BD">
        <w:tblPrEx>
          <w:tblBorders>
            <w:top w:val="single" w:color="D0D7DE" w:sz="4" w:space="0"/>
            <w:left w:val="single" w:color="D0D7DE" w:sz="4" w:space="0"/>
            <w:bottom w:val="single" w:color="D0D7DE" w:sz="4" w:space="0"/>
            <w:right w:val="single" w:color="D0D7DE" w:sz="4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666" w:type="pct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  <w:shd w:val="clear" w:color="auto" w:fill="FFFFFF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</w:tcPr>
          <w:p w14:paraId="36BE9A6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管路内径</w:t>
            </w:r>
          </w:p>
        </w:tc>
        <w:tc>
          <w:tcPr>
            <w:tcW w:w="1666" w:type="pct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  <w:shd w:val="clear" w:color="auto" w:fill="FFFFFF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</w:tcPr>
          <w:p w14:paraId="2ABEB98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管路长度</w:t>
            </w:r>
          </w:p>
        </w:tc>
        <w:tc>
          <w:tcPr>
            <w:tcW w:w="1666" w:type="pct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  <w:shd w:val="clear" w:color="auto" w:fill="FFFFFF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</w:tcPr>
          <w:p w14:paraId="2CD0F60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残留体积</w:t>
            </w:r>
          </w:p>
        </w:tc>
      </w:tr>
      <w:tr w14:paraId="47511F64">
        <w:tblPrEx>
          <w:tblBorders>
            <w:top w:val="single" w:color="D0D7DE" w:sz="4" w:space="0"/>
            <w:left w:val="single" w:color="D0D7DE" w:sz="4" w:space="0"/>
            <w:bottom w:val="single" w:color="D0D7DE" w:sz="4" w:space="0"/>
            <w:right w:val="single" w:color="D0D7DE" w:sz="4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66" w:type="pct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  <w:shd w:val="clear" w:color="auto" w:fill="FFFFFF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</w:tcPr>
          <w:p w14:paraId="4AEEDDF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6 mm</w:t>
            </w:r>
          </w:p>
        </w:tc>
        <w:tc>
          <w:tcPr>
            <w:tcW w:w="1666" w:type="pct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  <w:shd w:val="clear" w:color="auto" w:fill="FFFFFF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</w:tcPr>
          <w:p w14:paraId="25B69B1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m</w:t>
            </w:r>
          </w:p>
        </w:tc>
        <w:tc>
          <w:tcPr>
            <w:tcW w:w="1666" w:type="pct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  <w:shd w:val="clear" w:color="auto" w:fill="FFFFFF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</w:tcPr>
          <w:p w14:paraId="3D674DD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~28 mL</w:t>
            </w:r>
          </w:p>
        </w:tc>
      </w:tr>
      <w:tr w14:paraId="02F60D8E">
        <w:tblPrEx>
          <w:tblBorders>
            <w:top w:val="single" w:color="D0D7DE" w:sz="4" w:space="0"/>
            <w:left w:val="single" w:color="D0D7DE" w:sz="4" w:space="0"/>
            <w:bottom w:val="single" w:color="D0D7DE" w:sz="4" w:space="0"/>
            <w:right w:val="single" w:color="D0D7DE" w:sz="4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66" w:type="pct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  <w:shd w:val="clear" w:color="auto" w:fill="FFFFFF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</w:tcPr>
          <w:p w14:paraId="5B4DA11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6 mm</w:t>
            </w:r>
          </w:p>
        </w:tc>
        <w:tc>
          <w:tcPr>
            <w:tcW w:w="1666" w:type="pct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  <w:shd w:val="clear" w:color="auto" w:fill="FFFFFF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</w:tcPr>
          <w:p w14:paraId="26993D7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m</w:t>
            </w:r>
          </w:p>
        </w:tc>
        <w:tc>
          <w:tcPr>
            <w:tcW w:w="1666" w:type="pct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  <w:shd w:val="clear" w:color="auto" w:fill="FFFFFF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</w:tcPr>
          <w:p w14:paraId="365B150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~57 mL</w:t>
            </w:r>
          </w:p>
        </w:tc>
      </w:tr>
      <w:tr w14:paraId="7583937A">
        <w:tblPrEx>
          <w:tblBorders>
            <w:top w:val="single" w:color="D0D7DE" w:sz="4" w:space="0"/>
            <w:left w:val="single" w:color="D0D7DE" w:sz="4" w:space="0"/>
            <w:bottom w:val="single" w:color="D0D7DE" w:sz="4" w:space="0"/>
            <w:right w:val="single" w:color="D0D7DE" w:sz="4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666" w:type="pct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  <w:shd w:val="clear" w:color="auto" w:fill="FFFFFF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</w:tcPr>
          <w:p w14:paraId="3CD26FC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6 mm</w:t>
            </w:r>
          </w:p>
        </w:tc>
        <w:tc>
          <w:tcPr>
            <w:tcW w:w="1666" w:type="pct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  <w:shd w:val="clear" w:color="auto" w:fill="FFFFFF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</w:tcPr>
          <w:p w14:paraId="2905D6F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m</w:t>
            </w:r>
          </w:p>
        </w:tc>
        <w:tc>
          <w:tcPr>
            <w:tcW w:w="1666" w:type="pct"/>
            <w:tcBorders>
              <w:top w:val="single" w:color="D0D7DE" w:sz="4" w:space="0"/>
              <w:left w:val="single" w:color="D0D7DE" w:sz="4" w:space="0"/>
              <w:bottom w:val="single" w:color="D0D7DE" w:sz="4" w:space="0"/>
              <w:right w:val="single" w:color="D0D7DE" w:sz="4" w:space="0"/>
            </w:tcBorders>
            <w:shd w:val="clear" w:color="auto" w:fill="FFFFFF"/>
            <w:tcMar>
              <w:top w:w="48" w:type="dxa"/>
              <w:left w:w="48" w:type="dxa"/>
              <w:bottom w:w="48" w:type="dxa"/>
              <w:right w:w="48" w:type="dxa"/>
            </w:tcMar>
            <w:vAlign w:val="center"/>
          </w:tcPr>
          <w:p w14:paraId="431D28B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~85 mL</w:t>
            </w:r>
          </w:p>
        </w:tc>
      </w:tr>
    </w:tbl>
    <w:p w14:paraId="6FAA6CB4">
      <w:pPr>
        <w:rPr>
          <w:rFonts w:hint="eastAsia"/>
          <w:lang w:val="en-US" w:eastAsia="zh-CN"/>
        </w:rPr>
      </w:pPr>
    </w:p>
    <w:p w14:paraId="5436CE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按上表简单推算，我们的管路假设10米的话，残留体积接近200ml。这个误差是很大。</w:t>
      </w:r>
    </w:p>
    <w:p w14:paraId="297B88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1135" cy="3352800"/>
            <wp:effectExtent l="0" t="0" r="1905" b="0"/>
            <wp:docPr id="1" name="图片 1" descr="捕获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捕获99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29493">
      <w:pPr>
        <w:rPr>
          <w:rFonts w:hint="eastAsia" w:eastAsiaTheme="minorEastAsia"/>
          <w:lang w:val="en-US" w:eastAsia="zh-CN"/>
        </w:rPr>
      </w:pPr>
      <w:r>
        <w:rPr>
          <w:rFonts w:hint="default"/>
        </w:rPr>
        <w:t>二、误差类型</w:t>
      </w:r>
      <w:r>
        <w:rPr>
          <w:rFonts w:hint="eastAsia"/>
          <w:lang w:val="en-US" w:eastAsia="zh-CN"/>
        </w:rPr>
        <w:t>分析</w:t>
      </w:r>
    </w:p>
    <w:p w14:paraId="17900654">
      <w:pPr>
        <w:rPr>
          <w:rFonts w:hint="default"/>
        </w:rPr>
      </w:pPr>
      <w:r>
        <w:rPr>
          <w:rFonts w:hint="default"/>
        </w:rPr>
        <w:t>① 喷射启动延迟（欠喷）</w:t>
      </w:r>
    </w:p>
    <w:p w14:paraId="1B87BF8F">
      <w:pPr>
        <w:rPr/>
      </w:pPr>
      <w:r>
        <w:rPr>
          <w:rFonts w:hint="default"/>
        </w:rPr>
        <w:t>指令发出后，压缩空气先要把管路中已有的液体"推送"到喷嘴才能喷出</w:t>
      </w:r>
      <w:r>
        <w:rPr>
          <w:rFonts w:hint="eastAsia"/>
          <w:lang w:eastAsia="zh-CN"/>
        </w:rPr>
        <w:t>，</w:t>
      </w:r>
      <w:r>
        <w:rPr>
          <w:rFonts w:hint="default"/>
        </w:rPr>
        <w:t>如果控制逻辑以泵端计量为准，则泵已经供了足够量，但喷嘴还没喷完</w:t>
      </w:r>
      <w:r>
        <w:rPr>
          <w:rFonts w:hint="eastAsia"/>
          <w:lang w:eastAsia="zh-CN"/>
        </w:rPr>
        <w:t>。</w:t>
      </w:r>
      <w:r>
        <w:rPr>
          <w:rFonts w:hint="default"/>
        </w:rPr>
        <w:t>实际入催化剂的量</w:t>
      </w:r>
      <w:r>
        <w:rPr>
          <w:rFonts w:hint="eastAsia"/>
          <w:lang w:val="en-US" w:eastAsia="zh-CN"/>
        </w:rPr>
        <w:t>小于</w:t>
      </w:r>
      <w:r>
        <w:rPr>
          <w:rFonts w:hint="default"/>
        </w:rPr>
        <w:t>目标量，导致 NOx 转化效率阶段性偏低</w:t>
      </w:r>
    </w:p>
    <w:p w14:paraId="2485FECB">
      <w:pPr>
        <w:rPr>
          <w:rFonts w:hint="default"/>
        </w:rPr>
      </w:pPr>
      <w:r>
        <w:rPr>
          <w:rFonts w:hint="default"/>
        </w:rPr>
        <w:t>② 停止后拖尾过喷（过喷）</w:t>
      </w:r>
    </w:p>
    <w:p w14:paraId="702654A0">
      <w:pPr>
        <w:rPr/>
      </w:pPr>
      <w:r>
        <w:rPr>
          <w:rFonts w:hint="default"/>
        </w:rPr>
        <w:t>指令停止时，管路中仍残留一段液柱气路关断但液体靠惯性</w:t>
      </w:r>
      <w:r>
        <w:rPr>
          <w:rFonts w:hint="eastAsia"/>
          <w:lang w:eastAsia="zh-CN"/>
        </w:rPr>
        <w:t>、</w:t>
      </w:r>
      <w:r>
        <w:rPr>
          <w:rFonts w:hint="default"/>
        </w:rPr>
        <w:t>重力继续缓慢流出，形成"拖尾"实际喷出量</w:t>
      </w:r>
      <w:r>
        <w:rPr>
          <w:rFonts w:hint="eastAsia"/>
          <w:lang w:val="en-US" w:eastAsia="zh-CN"/>
        </w:rPr>
        <w:t>大于</w:t>
      </w:r>
      <w:r>
        <w:rPr>
          <w:rFonts w:hint="default"/>
        </w:rPr>
        <w:t>目标量，导致氨逃逸浓度偏高</w:t>
      </w:r>
    </w:p>
    <w:p w14:paraId="304BEC3E">
      <w:pPr>
        <w:rPr>
          <w:rFonts w:hint="default"/>
        </w:rPr>
      </w:pPr>
      <w:r>
        <w:rPr>
          <w:rFonts w:hint="default"/>
        </w:rPr>
        <w:t>③ 多次喷射的累积误差</w:t>
      </w:r>
    </w:p>
    <w:p w14:paraId="6D7416C4">
      <w:pPr>
        <w:rPr>
          <w:rFonts w:hint="eastAsia" w:eastAsiaTheme="minorEastAsia"/>
          <w:lang w:eastAsia="zh-CN"/>
        </w:rPr>
      </w:pPr>
      <w:r>
        <w:rPr>
          <w:rFonts w:hint="default"/>
        </w:rPr>
        <w:t>每次喷射结束时管路中的残留量 ΔV 不同（受气压、温度、液体粘度影响）</w:t>
      </w:r>
      <w:r>
        <w:rPr>
          <w:rFonts w:hint="eastAsia"/>
          <w:lang w:eastAsia="zh-CN"/>
        </w:rPr>
        <w:t>，</w:t>
      </w:r>
      <w:r>
        <w:rPr>
          <w:rFonts w:hint="default"/>
        </w:rPr>
        <w:t>残留量叠加到下一次喷射的初始状态，每个周期的误差量都不相同</w:t>
      </w:r>
      <w:r>
        <w:rPr>
          <w:rFonts w:hint="eastAsia"/>
          <w:lang w:eastAsia="zh-CN"/>
        </w:rPr>
        <w:t>，</w:t>
      </w:r>
      <w:r>
        <w:rPr>
          <w:rFonts w:hint="default"/>
        </w:rPr>
        <w:t>这使得简单的固定补偿系数难以有效修正</w:t>
      </w:r>
      <w:r>
        <w:rPr>
          <w:rFonts w:hint="eastAsia"/>
          <w:lang w:eastAsia="zh-CN"/>
        </w:rPr>
        <w:t>。</w:t>
      </w:r>
    </w:p>
    <w:p w14:paraId="3F359C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8595" cy="2252345"/>
            <wp:effectExtent l="0" t="0" r="4445" b="3175"/>
            <wp:docPr id="2" name="图片 2" descr="捕获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捕获00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25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66045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解决方法</w:t>
      </w:r>
    </w:p>
    <w:p w14:paraId="65DAC82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1：结构层面缩短管路</w:t>
      </w:r>
    </w:p>
    <w:p w14:paraId="61F5F951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将尿素泵尽量靠近喷嘴安装，是最根本的解决方案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采用"尿素模块集成化"设计，泵、阀、喷嘴一体化</w:t>
      </w:r>
      <w:r>
        <w:rPr>
          <w:rFonts w:hint="eastAsia"/>
          <w:lang w:val="en-US" w:eastAsia="zh-CN"/>
        </w:rPr>
        <w:t>（天纳克方案）</w:t>
      </w:r>
    </w:p>
    <w:p w14:paraId="72A81FF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2：气路辅助清管</w:t>
      </w:r>
    </w:p>
    <w:p w14:paraId="708D14D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每次喷射结束后，保持气路开启 1–2 s，将管路中残余液体全部吹出到排气管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此部分额外喷出的量需纳入计量模型</w:t>
      </w:r>
    </w:p>
    <w:p w14:paraId="745506A2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3：控制策略补偿</w:t>
      </w:r>
    </w:p>
    <w:p w14:paraId="45EE1DC7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建立"管路充液状态估计"模型：跟踪每次喷射后的残留量 ΔV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下次喷射指令量 = 目标量 - 预估残留量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但这依赖稳定的气压和液体特性，低温工况下补偿精度会下降</w:t>
      </w:r>
      <w:r>
        <w:rPr>
          <w:rFonts w:hint="eastAsia"/>
          <w:lang w:val="en-US" w:eastAsia="zh-CN"/>
        </w:rPr>
        <w:t>。</w:t>
      </w:r>
    </w:p>
    <w:p w14:paraId="3884018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4：喷嘴端流量直接闭环</w:t>
      </w:r>
    </w:p>
    <w:p w14:paraId="7F5211D1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在喷嘴附近加装超声波或科里奥利流量计，实现真正的喷出量闭环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成本高，但对 SCR 精确控制最有效</w:t>
      </w:r>
      <w:r>
        <w:rPr>
          <w:rFonts w:hint="eastAsia"/>
          <w:lang w:val="en-US" w:eastAsia="zh-CN"/>
        </w:rPr>
        <w:t>。</w:t>
      </w:r>
      <w:bookmarkStart w:id="0" w:name="_GoBack"/>
      <w:bookmarkEnd w:id="0"/>
    </w:p>
    <w:p w14:paraId="1232763D">
      <w:pPr>
        <w:numPr>
          <w:numId w:val="0"/>
        </w:num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35F5900"/>
    <w:multiLevelType w:val="singleLevel"/>
    <w:tmpl w:val="435F5900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CB04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19</TotalTime>
  <ScaleCrop>false</ScaleCrop>
  <LinksUpToDate>false</LinksUpToDate>
  <CharactersWithSpaces>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2026-05-25T02:14:24Z</dcterms:created>
  <dc:creator>Administrator</dc:creator>
  <cp:lastModifiedBy>毕亚杰</cp:lastModifiedBy>
  <dcterms:modified xsi:type="dcterms:W3CDTF">2026-05-25T02:33:27Z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eyJoZGlkIjoiZmM4MjA3YmNjYjFkYzgzNDM3MTQ5NmIzOTc4ZmI1YjUiLCJ1c2VySWQiOiI3ODU2NTcxMTEifQ==</vt:lpwstr>
  </property>
  <property fmtid="{D5CDD505-2E9C-101B-9397-08002B2CF9AE}" pid="4" name="ICV">
    <vt:lpwstr>F0FEB4FEFEA0463E8B5C720F085ACBC0_12</vt:lpwstr>
  </property>
</Properties>
</file>