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239342D">
      <w:pPr>
        <w:spacing w:after="120" w:line="360" w:lineRule="auto"/>
        <w:jc w:val="center"/>
        <w:rPr>
          <w:rFonts w:hint="eastAsia" w:eastAsia="宋体" w:cs="Arial"/>
          <w:sz w:val="21"/>
          <w:szCs w:val="21"/>
          <w:lang w:val="en-US" w:eastAsia="zh-CN"/>
        </w:rPr>
      </w:pPr>
      <w:r>
        <w:rPr>
          <w:rFonts w:hint="eastAsia" w:eastAsia="宋体" w:cs="Arial"/>
          <w:sz w:val="21"/>
          <w:szCs w:val="21"/>
          <w:lang w:val="en-US" w:eastAsia="zh-CN"/>
        </w:rPr>
        <w:t>软件计算氨逃逸值的方法</w:t>
      </w:r>
    </w:p>
    <w:p w14:paraId="448FB8CE">
      <w:pPr>
        <w:spacing w:after="120" w:line="360" w:lineRule="auto"/>
        <w:jc w:val="left"/>
        <w:rPr>
          <w:rFonts w:hint="eastAsia" w:eastAsia="宋体" w:cs="Arial"/>
          <w:sz w:val="21"/>
          <w:szCs w:val="21"/>
          <w:lang w:val="en-US" w:eastAsia="zh-CN"/>
        </w:rPr>
      </w:pPr>
      <w:r>
        <w:rPr>
          <w:rFonts w:hint="eastAsia" w:eastAsia="宋体" w:cs="Arial"/>
          <w:sz w:val="21"/>
          <w:szCs w:val="21"/>
          <w:lang w:val="en-US" w:eastAsia="zh-CN"/>
        </w:rPr>
        <w:t>以下是导致氨逃逸的主要几种情况：</w:t>
      </w:r>
    </w:p>
    <w:p w14:paraId="060C1B4F">
      <w:pPr>
        <w:spacing w:after="120" w:line="360" w:lineRule="auto"/>
        <w:jc w:val="left"/>
        <w:rPr>
          <w:rFonts w:hint="eastAsia" w:eastAsia="宋体" w:cs="Arial"/>
          <w:sz w:val="21"/>
          <w:szCs w:val="21"/>
          <w:lang w:val="en-US" w:eastAsia="zh-CN"/>
        </w:rPr>
      </w:pPr>
      <w:r>
        <w:rPr>
          <w:rFonts w:hint="eastAsia" w:eastAsia="宋体" w:cs="Arial"/>
          <w:sz w:val="21"/>
          <w:szCs w:val="21"/>
          <w:lang w:val="en-US" w:eastAsia="zh-CN"/>
        </w:rPr>
        <w:t>1. 催化剂活性下降（老化或中毒）</w:t>
      </w:r>
    </w:p>
    <w:p w14:paraId="0FE8E10F">
      <w:pPr>
        <w:spacing w:after="120" w:line="360" w:lineRule="auto"/>
        <w:jc w:val="left"/>
        <w:rPr>
          <w:rFonts w:hint="eastAsia" w:eastAsia="宋体" w:cs="Arial"/>
          <w:sz w:val="21"/>
          <w:szCs w:val="21"/>
          <w:lang w:val="en-US" w:eastAsia="zh-CN"/>
        </w:rPr>
      </w:pPr>
      <w:r>
        <w:rPr>
          <w:rFonts w:hint="eastAsia" w:eastAsia="宋体" w:cs="Arial"/>
          <w:sz w:val="21"/>
          <w:szCs w:val="21"/>
          <w:lang w:val="en-US" w:eastAsia="zh-CN"/>
        </w:rPr>
        <w:t>这是最核心的物理原因。前馈控制通常基于催化剂处于“理想状态”的实验数据。</w:t>
      </w:r>
    </w:p>
    <w:p w14:paraId="14B0A96F">
      <w:pPr>
        <w:spacing w:after="120" w:line="360" w:lineRule="auto"/>
        <w:jc w:val="left"/>
        <w:rPr>
          <w:rFonts w:hint="eastAsia" w:eastAsia="宋体" w:cs="Arial"/>
          <w:sz w:val="21"/>
          <w:szCs w:val="21"/>
          <w:lang w:val="en-US" w:eastAsia="zh-CN"/>
        </w:rPr>
      </w:pPr>
      <w:r>
        <w:rPr>
          <w:rFonts w:hint="eastAsia" w:eastAsia="宋体" w:cs="Arial"/>
          <w:sz w:val="21"/>
          <w:szCs w:val="21"/>
          <w:lang w:val="en-US" w:eastAsia="zh-CN"/>
        </w:rPr>
        <w:t xml:space="preserve"> 化学中毒： 燃油或烟气中的硫、磷、砷等元素导致催化剂活性位点失效。</w:t>
      </w:r>
    </w:p>
    <w:p w14:paraId="4D41CF66">
      <w:pPr>
        <w:spacing w:after="120" w:line="360" w:lineRule="auto"/>
        <w:jc w:val="left"/>
        <w:rPr>
          <w:rFonts w:hint="eastAsia" w:eastAsia="宋体" w:cs="Arial"/>
          <w:sz w:val="21"/>
          <w:szCs w:val="21"/>
          <w:lang w:val="en-US" w:eastAsia="zh-CN"/>
        </w:rPr>
      </w:pPr>
      <w:r>
        <w:rPr>
          <w:rFonts w:hint="eastAsia" w:eastAsia="宋体" w:cs="Arial"/>
          <w:sz w:val="21"/>
          <w:szCs w:val="21"/>
          <w:lang w:val="en-US" w:eastAsia="zh-CN"/>
        </w:rPr>
        <w:t xml:space="preserve"> 热老化：长期高温运行导致催化剂烧结，孔隙率降低。</w:t>
      </w:r>
    </w:p>
    <w:p w14:paraId="5BDEFFAA">
      <w:pPr>
        <w:spacing w:after="120" w:line="360" w:lineRule="auto"/>
        <w:jc w:val="left"/>
        <w:rPr>
          <w:rFonts w:hint="eastAsia" w:eastAsia="宋体" w:cs="Arial"/>
          <w:sz w:val="21"/>
          <w:szCs w:val="21"/>
          <w:lang w:val="en-US" w:eastAsia="zh-CN"/>
        </w:rPr>
      </w:pPr>
      <w:r>
        <w:rPr>
          <w:rFonts w:hint="eastAsia" w:eastAsia="宋体" w:cs="Arial"/>
          <w:sz w:val="21"/>
          <w:szCs w:val="21"/>
          <w:lang w:val="en-US" w:eastAsia="zh-CN"/>
        </w:rPr>
        <w:t xml:space="preserve"> 结果：同样喷射量的尿素，由于催化剂无法完全催化反应，未反应的氨直接穿过催化剂层，造成逃逸。</w:t>
      </w:r>
    </w:p>
    <w:p w14:paraId="2E580C2C">
      <w:pPr>
        <w:spacing w:after="120" w:line="360" w:lineRule="auto"/>
        <w:jc w:val="left"/>
        <w:rPr>
          <w:rFonts w:hint="eastAsia" w:eastAsia="宋体" w:cs="Arial"/>
          <w:sz w:val="21"/>
          <w:szCs w:val="21"/>
          <w:lang w:val="en-US" w:eastAsia="zh-CN"/>
        </w:rPr>
      </w:pPr>
      <w:r>
        <w:rPr>
          <w:rFonts w:hint="eastAsia" w:eastAsia="宋体" w:cs="Arial"/>
          <w:sz w:val="21"/>
          <w:szCs w:val="21"/>
          <w:lang w:val="en-US" w:eastAsia="zh-CN"/>
        </w:rPr>
        <w:t xml:space="preserve"> 2. 反应温度窗口失衡</w:t>
      </w:r>
    </w:p>
    <w:p w14:paraId="4B3E0296">
      <w:pPr>
        <w:spacing w:after="120" w:line="360" w:lineRule="auto"/>
        <w:jc w:val="left"/>
        <w:rPr>
          <w:rFonts w:hint="eastAsia" w:eastAsia="宋体" w:cs="Arial"/>
          <w:sz w:val="21"/>
          <w:szCs w:val="21"/>
          <w:lang w:val="en-US" w:eastAsia="zh-CN"/>
        </w:rPr>
      </w:pPr>
      <w:r>
        <w:rPr>
          <w:rFonts w:hint="eastAsia" w:eastAsia="宋体" w:cs="Arial"/>
          <w:sz w:val="21"/>
          <w:szCs w:val="21"/>
          <w:lang w:val="en-US" w:eastAsia="zh-CN"/>
        </w:rPr>
        <w:t>SCR催化剂有其最佳工作温度区间（通常在 300°C - 420°C 之间）。</w:t>
      </w:r>
    </w:p>
    <w:p w14:paraId="67ED91EE">
      <w:pPr>
        <w:spacing w:after="120" w:line="360" w:lineRule="auto"/>
        <w:jc w:val="left"/>
        <w:rPr>
          <w:rFonts w:hint="eastAsia" w:eastAsia="宋体" w:cs="Arial"/>
          <w:sz w:val="21"/>
          <w:szCs w:val="21"/>
          <w:lang w:val="en-US" w:eastAsia="zh-CN"/>
        </w:rPr>
      </w:pPr>
      <w:r>
        <w:rPr>
          <w:rFonts w:hint="eastAsia" w:eastAsia="宋体" w:cs="Arial"/>
          <w:sz w:val="21"/>
          <w:szCs w:val="21"/>
          <w:lang w:val="en-US" w:eastAsia="zh-CN"/>
        </w:rPr>
        <w:t xml:space="preserve"> 温度过低：催化剂活性低，反应速率慢。如果前馈逻辑此时强制喷射，氨无法及时反应。</w:t>
      </w:r>
    </w:p>
    <w:p w14:paraId="53295E5B">
      <w:pPr>
        <w:spacing w:after="120" w:line="360" w:lineRule="auto"/>
        <w:jc w:val="left"/>
        <w:rPr>
          <w:rFonts w:hint="eastAsia" w:eastAsia="宋体" w:cs="Arial"/>
          <w:sz w:val="21"/>
          <w:szCs w:val="21"/>
          <w:lang w:val="en-US" w:eastAsia="zh-CN"/>
        </w:rPr>
      </w:pPr>
      <w:r>
        <w:rPr>
          <w:rFonts w:hint="eastAsia" w:eastAsia="宋体" w:cs="Arial"/>
          <w:sz w:val="21"/>
          <w:szCs w:val="21"/>
          <w:lang w:val="en-US" w:eastAsia="zh-CN"/>
        </w:rPr>
        <w:t xml:space="preserve"> 温度过高：氨气会发生副反应（被直接氧化成 NO_x），不仅没起到还原作用，还导致浓度计算失真。</w:t>
      </w:r>
    </w:p>
    <w:p w14:paraId="51E95B3C">
      <w:pPr>
        <w:spacing w:after="120" w:line="360" w:lineRule="auto"/>
        <w:jc w:val="left"/>
        <w:rPr>
          <w:rFonts w:hint="eastAsia" w:eastAsia="宋体" w:cs="Arial"/>
          <w:sz w:val="21"/>
          <w:szCs w:val="21"/>
          <w:lang w:val="en-US" w:eastAsia="zh-CN"/>
        </w:rPr>
      </w:pPr>
      <w:r>
        <w:rPr>
          <w:rFonts w:hint="eastAsia" w:eastAsia="宋体" w:cs="Arial"/>
          <w:sz w:val="21"/>
          <w:szCs w:val="21"/>
          <w:lang w:val="en-US" w:eastAsia="zh-CN"/>
        </w:rPr>
        <w:t>3. 前馈排放因子的偏差</w:t>
      </w:r>
    </w:p>
    <w:p w14:paraId="1F4614AD">
      <w:pPr>
        <w:spacing w:after="120" w:line="360" w:lineRule="auto"/>
        <w:jc w:val="left"/>
        <w:rPr>
          <w:rFonts w:hint="eastAsia" w:eastAsia="宋体" w:cs="Arial"/>
          <w:sz w:val="21"/>
          <w:szCs w:val="21"/>
          <w:lang w:val="en-US" w:eastAsia="zh-CN"/>
        </w:rPr>
      </w:pPr>
      <w:r>
        <w:rPr>
          <w:rFonts w:hint="eastAsia" w:eastAsia="宋体" w:cs="Arial"/>
          <w:sz w:val="21"/>
          <w:szCs w:val="21"/>
          <w:lang w:val="en-US" w:eastAsia="zh-CN"/>
        </w:rPr>
        <w:t>前馈控制的本质是“查表”，如果“表”不准，逃逸就会发生：</w:t>
      </w:r>
    </w:p>
    <w:p w14:paraId="15219DFE">
      <w:pPr>
        <w:spacing w:after="120" w:line="360" w:lineRule="auto"/>
        <w:jc w:val="left"/>
        <w:rPr>
          <w:rFonts w:hint="eastAsia" w:eastAsia="宋体" w:cs="Arial"/>
          <w:sz w:val="21"/>
          <w:szCs w:val="21"/>
          <w:lang w:val="en-US" w:eastAsia="zh-CN"/>
        </w:rPr>
      </w:pPr>
      <w:r>
        <w:rPr>
          <w:rFonts w:hint="eastAsia" w:eastAsia="宋体" w:cs="Arial"/>
          <w:sz w:val="21"/>
          <w:szCs w:val="21"/>
          <w:lang w:val="en-US" w:eastAsia="zh-CN"/>
        </w:rPr>
        <w:t xml:space="preserve"> 瞬态响应延迟：发动机负载剧烈波动时，实际 NO_x 排放的变化可能快于传感器的采样或控制器的响应。如果前馈因子对瞬态工况（如急加速、急减速）覆盖不足，会导致尿素喷射过量。</w:t>
      </w:r>
    </w:p>
    <w:p w14:paraId="0A632FA6">
      <w:pPr>
        <w:spacing w:after="120" w:line="360" w:lineRule="auto"/>
        <w:jc w:val="left"/>
        <w:rPr>
          <w:rFonts w:hint="eastAsia" w:eastAsia="宋体" w:cs="Arial"/>
          <w:sz w:val="21"/>
          <w:szCs w:val="21"/>
          <w:lang w:val="en-US" w:eastAsia="zh-CN"/>
        </w:rPr>
      </w:pPr>
      <w:r>
        <w:rPr>
          <w:rFonts w:hint="eastAsia" w:eastAsia="宋体" w:cs="Arial"/>
          <w:sz w:val="21"/>
          <w:szCs w:val="21"/>
          <w:lang w:val="en-US" w:eastAsia="zh-CN"/>
        </w:rPr>
        <w:t xml:space="preserve"> 传感器漂移：如果上游的 NO_x 传感器精度下降，给出的原始数据偏高，控制器就会根据错误的排放因子喷出过多的尿素。</w:t>
      </w:r>
    </w:p>
    <w:p w14:paraId="73A01DE5">
      <w:pPr>
        <w:spacing w:after="120" w:line="360" w:lineRule="auto"/>
        <w:jc w:val="left"/>
        <w:rPr>
          <w:rFonts w:hint="eastAsia" w:eastAsia="宋体" w:cs="Arial"/>
          <w:sz w:val="21"/>
          <w:szCs w:val="21"/>
          <w:lang w:val="en-US" w:eastAsia="zh-CN"/>
        </w:rPr>
      </w:pPr>
      <w:r>
        <w:rPr>
          <w:rFonts w:hint="eastAsia" w:eastAsia="宋体" w:cs="Arial"/>
          <w:sz w:val="21"/>
          <w:szCs w:val="21"/>
          <w:lang w:val="en-US" w:eastAsia="zh-CN"/>
        </w:rPr>
        <w:t>4. 空间分布不均（混合不充分）</w:t>
      </w:r>
    </w:p>
    <w:p w14:paraId="707D9509">
      <w:pPr>
        <w:spacing w:after="120" w:line="360" w:lineRule="auto"/>
        <w:jc w:val="left"/>
        <w:rPr>
          <w:rFonts w:hint="eastAsia" w:eastAsia="宋体" w:cs="Arial"/>
          <w:sz w:val="21"/>
          <w:szCs w:val="21"/>
          <w:lang w:val="en-US" w:eastAsia="zh-CN"/>
        </w:rPr>
      </w:pPr>
      <w:r>
        <w:rPr>
          <w:rFonts w:hint="eastAsia" w:eastAsia="宋体" w:cs="Arial"/>
          <w:sz w:val="21"/>
          <w:szCs w:val="21"/>
          <w:lang w:val="en-US" w:eastAsia="zh-CN"/>
        </w:rPr>
        <w:t>这属于流场动力学问题。</w:t>
      </w:r>
    </w:p>
    <w:p w14:paraId="77D5B566">
      <w:pPr>
        <w:spacing w:after="120" w:line="360" w:lineRule="auto"/>
        <w:jc w:val="left"/>
        <w:rPr>
          <w:rFonts w:hint="eastAsia" w:eastAsia="宋体" w:cs="Arial"/>
          <w:sz w:val="21"/>
          <w:szCs w:val="21"/>
          <w:lang w:val="en-US" w:eastAsia="zh-CN"/>
        </w:rPr>
      </w:pPr>
      <w:r>
        <w:rPr>
          <w:rFonts w:hint="eastAsia" w:eastAsia="宋体" w:cs="Arial"/>
          <w:sz w:val="21"/>
          <w:szCs w:val="21"/>
          <w:lang w:val="en-US" w:eastAsia="zh-CN"/>
        </w:rPr>
        <w:t xml:space="preserve"> 雾化不良：喷嘴结焦或压力不足，导致尿素液滴过大，无法在烟道内充分汽化。</w:t>
      </w:r>
    </w:p>
    <w:p w14:paraId="1AD66B78">
      <w:pPr>
        <w:spacing w:after="120" w:line="360" w:lineRule="auto"/>
        <w:jc w:val="left"/>
        <w:rPr>
          <w:rFonts w:hint="eastAsia" w:eastAsia="宋体" w:cs="Arial"/>
          <w:sz w:val="21"/>
          <w:szCs w:val="21"/>
          <w:lang w:val="en-US" w:eastAsia="zh-CN"/>
        </w:rPr>
      </w:pPr>
      <w:r>
        <w:rPr>
          <w:rFonts w:hint="eastAsia" w:eastAsia="宋体" w:cs="Arial"/>
          <w:sz w:val="21"/>
          <w:szCs w:val="21"/>
          <w:lang w:val="en-US" w:eastAsia="zh-CN"/>
        </w:rPr>
        <w:t xml:space="preserve"> 混合不均：氨气在催化剂入口截面上的分布不均匀，局部区域的“氨氮比”（NH₃/NOₓ）远超 1:1，导致该局部区域出现严重逃逸，即便总平均值看似正常。</w:t>
      </w:r>
    </w:p>
    <w:p w14:paraId="3A26F5D8">
      <w:pPr>
        <w:spacing w:after="120" w:line="360" w:lineRule="auto"/>
        <w:jc w:val="left"/>
        <w:rPr>
          <w:rFonts w:hint="eastAsia" w:eastAsia="宋体" w:cs="Arial"/>
          <w:sz w:val="21"/>
          <w:szCs w:val="21"/>
          <w:lang w:val="en-US" w:eastAsia="zh-CN"/>
        </w:rPr>
      </w:pPr>
      <w:r>
        <w:rPr>
          <w:rFonts w:hint="eastAsia" w:eastAsia="宋体" w:cs="Arial"/>
          <w:sz w:val="21"/>
          <w:szCs w:val="21"/>
          <w:lang w:val="en-US" w:eastAsia="zh-CN"/>
        </w:rPr>
        <w:t xml:space="preserve"> 5. 氨存储效应（NH_3 Storage）</w:t>
      </w:r>
    </w:p>
    <w:p w14:paraId="5193509C">
      <w:pPr>
        <w:spacing w:after="120" w:line="360" w:lineRule="auto"/>
        <w:jc w:val="left"/>
        <w:rPr>
          <w:rFonts w:hint="eastAsia" w:eastAsia="宋体" w:cs="Arial"/>
          <w:sz w:val="21"/>
          <w:szCs w:val="21"/>
          <w:lang w:val="en-US" w:eastAsia="zh-CN"/>
        </w:rPr>
      </w:pPr>
      <w:r>
        <w:rPr>
          <w:rFonts w:hint="eastAsia" w:eastAsia="宋体" w:cs="Arial"/>
          <w:sz w:val="21"/>
          <w:szCs w:val="21"/>
          <w:lang w:val="en-US" w:eastAsia="zh-CN"/>
        </w:rPr>
        <w:t>催化剂表面具有物理吸附氨的能力，这在控制逻辑中非常关键：</w:t>
      </w:r>
    </w:p>
    <w:p w14:paraId="59A40A18">
      <w:pPr>
        <w:spacing w:after="120" w:line="360" w:lineRule="auto"/>
        <w:jc w:val="left"/>
        <w:rPr>
          <w:rFonts w:hint="eastAsia" w:eastAsia="宋体" w:cs="Arial"/>
          <w:sz w:val="21"/>
          <w:szCs w:val="21"/>
          <w:lang w:val="en-US" w:eastAsia="zh-CN"/>
        </w:rPr>
      </w:pPr>
      <w:r>
        <w:rPr>
          <w:rFonts w:hint="eastAsia" w:eastAsia="宋体" w:cs="Arial"/>
          <w:sz w:val="21"/>
          <w:szCs w:val="21"/>
          <w:lang w:val="en-US" w:eastAsia="zh-CN"/>
        </w:rPr>
        <w:t>饱和溢出： 在低负荷转向高负荷时，催化剂温度上升，原本吸附在催化剂表面的氨会由于热运动加剧而被“挤”出来。</w:t>
      </w:r>
    </w:p>
    <w:p w14:paraId="53DDD8A8">
      <w:pPr>
        <w:spacing w:after="120" w:line="360" w:lineRule="auto"/>
        <w:jc w:val="left"/>
        <w:rPr>
          <w:rFonts w:hint="eastAsia" w:eastAsia="宋体" w:cs="Arial"/>
          <w:sz w:val="21"/>
          <w:szCs w:val="21"/>
          <w:lang w:val="en-US" w:eastAsia="zh-CN"/>
        </w:rPr>
      </w:pPr>
      <w:r>
        <w:rPr>
          <w:rFonts w:hint="eastAsia" w:eastAsia="宋体" w:cs="Arial"/>
          <w:sz w:val="21"/>
          <w:szCs w:val="21"/>
          <w:lang w:val="en-US" w:eastAsia="zh-CN"/>
        </w:rPr>
        <w:t xml:space="preserve"> 逻辑忽视：如果前馈控制只考虑瞬时的 NO_x 消除，而没有实时估算催化剂内的氨存储量，就会在吸附位已满的情况下继续喷射，造成逃逸。</w:t>
      </w:r>
    </w:p>
    <w:p w14:paraId="39987AB1">
      <w:pPr>
        <w:spacing w:after="120" w:line="360" w:lineRule="auto"/>
        <w:jc w:val="left"/>
        <w:rPr>
          <w:rFonts w:hint="eastAsia" w:eastAsia="宋体" w:cs="Arial"/>
          <w:sz w:val="21"/>
          <w:szCs w:val="21"/>
          <w:lang w:val="en-US" w:eastAsia="zh-CN"/>
        </w:rPr>
      </w:pPr>
      <w:r>
        <w:rPr>
          <w:rFonts w:hint="eastAsia" w:eastAsia="宋体" w:cs="Arial"/>
          <w:sz w:val="21"/>
          <w:szCs w:val="21"/>
          <w:lang w:val="en-US" w:eastAsia="zh-CN"/>
        </w:rPr>
        <w:t>总结：前馈控制下的改进建议</w:t>
      </w:r>
    </w:p>
    <w:p w14:paraId="3B589CF1">
      <w:pPr>
        <w:spacing w:after="120" w:line="360" w:lineRule="auto"/>
        <w:jc w:val="left"/>
        <w:rPr>
          <w:rFonts w:hint="eastAsia" w:eastAsia="宋体" w:cs="Arial"/>
          <w:sz w:val="21"/>
          <w:szCs w:val="21"/>
          <w:lang w:val="en-US" w:eastAsia="zh-CN"/>
        </w:rPr>
      </w:pPr>
      <w:r>
        <w:rPr>
          <w:rFonts w:hint="eastAsia" w:eastAsia="宋体" w:cs="Arial"/>
          <w:sz w:val="21"/>
          <w:szCs w:val="21"/>
          <w:lang w:val="en-US" w:eastAsia="zh-CN"/>
        </w:rPr>
        <w:t>单纯依赖前馈排放因子往往无法完美抑制逃逸，通常需要结合以下手段：</w:t>
      </w:r>
    </w:p>
    <w:p w14:paraId="76D678E6">
      <w:pPr>
        <w:spacing w:after="120" w:line="360" w:lineRule="auto"/>
        <w:jc w:val="left"/>
        <w:rPr>
          <w:rFonts w:hint="eastAsia" w:eastAsia="宋体" w:cs="Arial"/>
          <w:sz w:val="21"/>
          <w:szCs w:val="21"/>
          <w:lang w:val="en-US" w:eastAsia="zh-CN"/>
        </w:rPr>
      </w:pPr>
      <w:r>
        <w:rPr>
          <w:rFonts w:hint="eastAsia" w:eastAsia="宋体" w:cs="Arial"/>
          <w:sz w:val="21"/>
          <w:szCs w:val="21"/>
          <w:lang w:val="en-US" w:eastAsia="zh-CN"/>
        </w:rPr>
        <w:t xml:space="preserve"> 反馈修正：增加下游 NH_3 传感器或 NO_x 传感器进行闭环修正。</w:t>
      </w:r>
    </w:p>
    <w:p w14:paraId="2AFFDC04">
      <w:pPr>
        <w:spacing w:after="120" w:line="360" w:lineRule="auto"/>
        <w:jc w:val="left"/>
        <w:rPr>
          <w:rFonts w:hint="eastAsia" w:eastAsia="宋体" w:cs="Arial"/>
          <w:sz w:val="21"/>
          <w:szCs w:val="21"/>
          <w:lang w:val="en-US" w:eastAsia="zh-CN"/>
        </w:rPr>
      </w:pPr>
      <w:r>
        <w:rPr>
          <w:rFonts w:hint="eastAsia" w:eastAsia="宋体" w:cs="Arial"/>
          <w:sz w:val="21"/>
          <w:szCs w:val="21"/>
          <w:lang w:val="en-US" w:eastAsia="zh-CN"/>
        </w:rPr>
        <w:t xml:space="preserve"> 氨存储模型：在算法中建立虚拟的“氨箱”模型，计算催化剂当前的吸附状态。</w:t>
      </w:r>
    </w:p>
    <w:p w14:paraId="53C40320">
      <w:pPr>
        <w:spacing w:after="120" w:line="360" w:lineRule="auto"/>
        <w:jc w:val="left"/>
        <w:rPr>
          <w:rFonts w:hint="eastAsia" w:eastAsia="宋体" w:cs="Arial"/>
          <w:sz w:val="21"/>
          <w:szCs w:val="21"/>
          <w:lang w:val="en-US" w:eastAsia="zh-CN"/>
        </w:rPr>
      </w:pPr>
      <w:r>
        <w:rPr>
          <w:rFonts w:hint="eastAsia" w:eastAsia="宋体" w:cs="Arial"/>
          <w:sz w:val="21"/>
          <w:szCs w:val="21"/>
          <w:lang w:val="en-US" w:eastAsia="zh-CN"/>
        </w:rPr>
        <w:t xml:space="preserve"> 温度补偿：引入精细的温度修正系数，在非最优温度区间主动限制喷射上限。</w:t>
      </w:r>
    </w:p>
    <w:p w14:paraId="0EC72B67">
      <w:pPr>
        <w:spacing w:after="120" w:line="360" w:lineRule="auto"/>
        <w:jc w:val="left"/>
        <w:rPr>
          <w:rFonts w:hint="default" w:eastAsia="宋体" w:cs="Arial"/>
          <w:sz w:val="21"/>
          <w:szCs w:val="21"/>
          <w:lang w:val="en-US" w:eastAsia="zh-CN"/>
        </w:rPr>
      </w:pPr>
      <w:r>
        <w:rPr>
          <w:rFonts w:hint="eastAsia" w:eastAsia="宋体" w:cs="Arial"/>
          <w:sz w:val="21"/>
          <w:szCs w:val="21"/>
          <w:lang w:val="en-US" w:eastAsia="zh-CN"/>
        </w:rPr>
        <w:t>解决这个问题最有效的就是检测氨逃逸值，利用检测到的氨逃逸值进行PId调节喷射量。实现真正的闭环调节。</w:t>
      </w:r>
    </w:p>
    <w:p w14:paraId="78875704">
      <w:pPr>
        <w:spacing w:after="120" w:line="360" w:lineRule="auto"/>
        <w:jc w:val="left"/>
        <w:rPr>
          <w:rFonts w:hint="default" w:eastAsia="宋体" w:cs="Arial"/>
          <w:sz w:val="28"/>
          <w:szCs w:val="28"/>
          <w:lang w:val="en-US" w:eastAsia="zh-CN"/>
        </w:rPr>
      </w:pPr>
      <w:r>
        <w:rPr>
          <w:rFonts w:hint="eastAsia" w:eastAsia="宋体" w:cs="Arial"/>
          <w:sz w:val="28"/>
          <w:szCs w:val="28"/>
          <w:lang w:val="en-US" w:eastAsia="zh-CN"/>
        </w:rPr>
        <w:t>德国大陆传感器检测原理：</w:t>
      </w:r>
    </w:p>
    <w:p w14:paraId="131197E1">
      <w:pPr>
        <w:spacing w:after="120" w:line="360" w:lineRule="auto"/>
      </w:pPr>
      <w:r>
        <w:rPr>
          <w:rFonts w:ascii="Arial" w:hAnsi="Arial" w:eastAsia="Arial" w:cs="Arial"/>
          <w:sz w:val="21"/>
          <w:szCs w:val="21"/>
        </w:rPr>
        <w:t>NOx 传感器第二腔的检测电极对 NH₃ 具有天然的交叉响应特性（cross-sensitivity）。当烟气中存在 NH₃ 时，NH₃ 会在第二腔中发生氧化反应，产生与 NOx 分解类似的氧信号，从而叠加在 NOx 读数上。</w:t>
      </w:r>
    </w:p>
    <w:p w14:paraId="086C1D54">
      <w:pPr>
        <w:spacing w:after="120" w:line="360" w:lineRule="auto"/>
      </w:pPr>
      <w:r>
        <w:rPr>
          <w:rFonts w:ascii="Arial" w:hAnsi="Arial" w:eastAsia="Arial" w:cs="Arial"/>
          <w:sz w:val="21"/>
          <w:szCs w:val="21"/>
        </w:rPr>
        <w:t>传感器实际输出的是 NOx 与 NH₃ 的加权混合信号：</w:t>
      </w:r>
    </w:p>
    <w:p w14:paraId="5CB7EE0F">
      <w:pPr>
        <w:spacing w:before="160" w:after="160" w:line="360" w:lineRule="auto"/>
        <w:jc w:val="center"/>
      </w:pPr>
      <w:r>
        <w:rPr>
          <w:rFonts w:ascii="Cambria Math" w:hAnsi="Cambria Math" w:eastAsia="Cambria Math" w:cs="Cambria Math"/>
          <w:i/>
          <w:iCs/>
          <w:color w:val="1A1A1A"/>
          <w:sz w:val="22"/>
          <w:szCs w:val="22"/>
        </w:rPr>
        <w:t>V= f(NOx+ k</w:t>
      </w:r>
      <w:r>
        <w:rPr>
          <w:rFonts w:ascii="Cambria Math" w:hAnsi="Cambria Math" w:eastAsia="Cambria Math" w:cs="Cambria Math"/>
          <w:i/>
          <w:iCs/>
          <w:color w:val="1A1A1A"/>
          <w:sz w:val="13"/>
          <w:szCs w:val="13"/>
        </w:rPr>
        <w:t>NH3</w:t>
      </w:r>
      <w:r>
        <w:rPr>
          <w:rFonts w:ascii="Cambria Math" w:hAnsi="Cambria Math" w:eastAsia="Cambria Math" w:cs="Cambria Math"/>
          <w:i/>
          <w:iCs/>
          <w:color w:val="1A1A1A"/>
          <w:sz w:val="22"/>
          <w:szCs w:val="22"/>
        </w:rPr>
        <w:t xml:space="preserve"> × NH₃)</w:t>
      </w:r>
    </w:p>
    <w:p w14:paraId="4B3A710C">
      <w:pPr>
        <w:spacing w:after="120" w:line="360" w:lineRule="auto"/>
      </w:pPr>
      <w:r>
        <w:rPr>
          <w:rFonts w:ascii="Arial" w:hAnsi="Arial" w:eastAsia="Arial" w:cs="Arial"/>
          <w:sz w:val="21"/>
          <w:szCs w:val="21"/>
        </w:rPr>
        <w:t>其中 k_NH3 为 NH₃ 的交叉敏感系数，对于大陆传感器：</w:t>
      </w:r>
    </w:p>
    <w:p w14:paraId="223C6861">
      <w:pPr>
        <w:spacing w:before="160" w:after="160" w:line="360" w:lineRule="auto"/>
        <w:jc w:val="center"/>
      </w:pPr>
      <w:r>
        <w:rPr>
          <w:rFonts w:ascii="Cambria Math" w:hAnsi="Cambria Math" w:eastAsia="Cambria Math" w:cs="Cambria Math"/>
          <w:i/>
          <w:iCs/>
          <w:color w:val="1A1A1A"/>
          <w:sz w:val="22"/>
          <w:szCs w:val="22"/>
        </w:rPr>
        <w:t>k</w:t>
      </w:r>
      <w:r>
        <w:rPr>
          <w:rFonts w:ascii="Cambria Math" w:hAnsi="Cambria Math" w:eastAsia="Cambria Math" w:cs="Cambria Math"/>
          <w:i/>
          <w:iCs/>
          <w:color w:val="1A1A1A"/>
          <w:sz w:val="13"/>
          <w:szCs w:val="13"/>
        </w:rPr>
        <w:t>NH3</w:t>
      </w:r>
      <w:r>
        <w:rPr>
          <w:rFonts w:ascii="Cambria Math" w:hAnsi="Cambria Math" w:eastAsia="Cambria Math" w:cs="Cambria Math"/>
          <w:i/>
          <w:iCs/>
          <w:color w:val="1A1A1A"/>
          <w:sz w:val="22"/>
          <w:szCs w:val="22"/>
        </w:rPr>
        <w:t xml:space="preserve"> ≈ 0.9 ~ 1.0</w:t>
      </w:r>
    </w:p>
    <w:p w14:paraId="52543BA6">
      <w:pPr>
        <w:spacing w:after="120" w:line="360" w:lineRule="auto"/>
      </w:pPr>
      <w:r>
        <w:rPr>
          <w:rFonts w:ascii="Arial" w:hAnsi="Arial" w:eastAsia="Arial" w:cs="Arial"/>
          <w:sz w:val="21"/>
          <w:szCs w:val="21"/>
        </w:rPr>
        <w:t>这意味着 1 ppm NH₃ 的干扰约等效于 0.9~1 ppm NOx，两者几乎等权叠加。这一特性正是我们估算氨逃逸的物理基础。</w:t>
      </w:r>
    </w:p>
    <w:p w14:paraId="384362E8">
      <w:pPr>
        <w:pStyle w:val="3"/>
        <w:spacing w:before="280" w:after="160"/>
        <w:rPr>
          <w:rFonts w:hint="default" w:eastAsia="宋体"/>
          <w:lang w:val="en-US" w:eastAsia="zh-CN"/>
        </w:rPr>
      </w:pPr>
      <w:r>
        <w:rPr>
          <w:rFonts w:ascii="Arial" w:hAnsi="Arial" w:eastAsia="Arial" w:cs="Arial"/>
          <w:b/>
          <w:bCs/>
          <w:color w:val="2E75B6"/>
          <w:sz w:val="26"/>
          <w:szCs w:val="26"/>
        </w:rPr>
        <w:t>前后双传感器差值法</w:t>
      </w:r>
      <w:r>
        <w:rPr>
          <w:rFonts w:hint="eastAsia" w:eastAsia="宋体" w:cs="Arial"/>
          <w:b/>
          <w:bCs/>
          <w:color w:val="2E75B6"/>
          <w:sz w:val="26"/>
          <w:szCs w:val="26"/>
          <w:lang w:val="en-US" w:eastAsia="zh-CN"/>
        </w:rPr>
        <w:t>计算氨逃逸</w:t>
      </w:r>
    </w:p>
    <w:p w14:paraId="7EF38DD1">
      <w:pPr>
        <w:spacing w:after="120" w:line="360" w:lineRule="auto"/>
      </w:pPr>
      <w:r>
        <w:rPr>
          <w:rFonts w:ascii="Arial" w:hAnsi="Arial" w:eastAsia="Arial" w:cs="Arial"/>
          <w:sz w:val="21"/>
          <w:szCs w:val="21"/>
        </w:rPr>
        <w:t>在 SCR 催化器前后各装一个 NOx 传感器，通过差值估算氨逃逸量。</w:t>
      </w:r>
    </w:p>
    <w:p w14:paraId="42526BAF">
      <w:pPr>
        <w:pStyle w:val="7"/>
        <w:numPr>
          <w:ilvl w:val="0"/>
          <w:numId w:val="1"/>
        </w:numPr>
        <w:spacing w:after="80" w:line="340" w:lineRule="auto"/>
      </w:pPr>
      <w:r>
        <w:rPr>
          <w:rFonts w:ascii="Arial" w:hAnsi="Arial" w:eastAsia="Arial" w:cs="Arial"/>
          <w:sz w:val="21"/>
          <w:szCs w:val="21"/>
        </w:rPr>
        <w:t>SCR 入口安装 NOx 传感器1，测量入口 NOx 浓度</w:t>
      </w:r>
    </w:p>
    <w:p w14:paraId="77D984C4">
      <w:pPr>
        <w:pStyle w:val="7"/>
        <w:numPr>
          <w:ilvl w:val="0"/>
          <w:numId w:val="1"/>
        </w:numPr>
        <w:spacing w:after="80" w:line="340" w:lineRule="auto"/>
      </w:pPr>
      <w:r>
        <w:rPr>
          <w:rFonts w:ascii="Arial" w:hAnsi="Arial" w:eastAsia="Arial" w:cs="Arial"/>
          <w:sz w:val="21"/>
          <w:szCs w:val="21"/>
        </w:rPr>
        <w:t>SCR 出口安装 NOx 传感器2，测量出口混合信号</w:t>
      </w:r>
    </w:p>
    <w:p w14:paraId="71D5706B">
      <w:pPr>
        <w:pStyle w:val="7"/>
        <w:numPr>
          <w:ilvl w:val="0"/>
          <w:numId w:val="1"/>
        </w:numPr>
        <w:spacing w:after="80" w:line="340" w:lineRule="auto"/>
      </w:pPr>
      <w:r>
        <w:rPr>
          <w:rFonts w:ascii="Arial" w:hAnsi="Arial" w:eastAsia="Arial" w:cs="Arial"/>
          <w:sz w:val="21"/>
          <w:szCs w:val="21"/>
        </w:rPr>
        <w:t>已有 SCR 转化效率模型或查表</w:t>
      </w:r>
    </w:p>
    <w:p w14:paraId="7B28F68E">
      <w:pPr>
        <w:spacing w:after="120" w:line="360" w:lineRule="auto"/>
      </w:pPr>
      <w:r>
        <w:rPr>
          <w:rFonts w:ascii="Arial" w:hAnsi="Arial" w:eastAsia="Arial" w:cs="Arial"/>
          <w:b/>
          <w:bCs/>
          <w:sz w:val="21"/>
          <w:szCs w:val="21"/>
        </w:rPr>
        <w:t>算法步骤：</w:t>
      </w:r>
    </w:p>
    <w:p w14:paraId="74AAB98A">
      <w:pPr>
        <w:spacing w:after="120" w:line="360" w:lineRule="auto"/>
      </w:pPr>
      <w:r>
        <w:rPr>
          <w:rFonts w:ascii="Arial" w:hAnsi="Arial" w:eastAsia="Arial" w:cs="Arial"/>
          <w:sz w:val="21"/>
          <w:szCs w:val="21"/>
        </w:rPr>
        <w:t>步骤 1：读取入口传感器值</w:t>
      </w:r>
    </w:p>
    <w:p w14:paraId="112C1DCB">
      <w:pPr>
        <w:spacing w:before="160" w:after="160" w:line="360" w:lineRule="auto"/>
        <w:jc w:val="center"/>
        <w:rPr>
          <w:rFonts w:hint="eastAsia" w:eastAsia="宋体"/>
          <w:lang w:val="en-US" w:eastAsia="zh-CN"/>
        </w:rPr>
      </w:pPr>
      <w:r>
        <w:rPr>
          <w:rFonts w:ascii="Cambria Math" w:hAnsi="Cambria Math" w:eastAsia="Cambria Math" w:cs="Cambria Math"/>
          <w:i/>
          <w:iCs/>
          <w:color w:val="1A1A1A"/>
          <w:sz w:val="22"/>
          <w:szCs w:val="22"/>
        </w:rPr>
        <w:t>NOx</w:t>
      </w:r>
      <w:r>
        <w:rPr>
          <w:rFonts w:ascii="Cambria Math" w:hAnsi="Cambria Math" w:eastAsia="Cambria Math" w:cs="Cambria Math"/>
          <w:i/>
          <w:iCs/>
          <w:color w:val="1A1A1A"/>
          <w:sz w:val="13"/>
          <w:szCs w:val="13"/>
        </w:rPr>
        <w:t>in</w:t>
      </w:r>
      <w:r>
        <w:rPr>
          <w:rFonts w:ascii="Cambria Math" w:hAnsi="Cambria Math" w:eastAsia="Cambria Math" w:cs="Cambria Math"/>
          <w:i/>
          <w:iCs/>
          <w:color w:val="1A1A1A"/>
          <w:sz w:val="22"/>
          <w:szCs w:val="22"/>
        </w:rPr>
        <w:t xml:space="preserve"> = V</w:t>
      </w:r>
      <w:r>
        <w:rPr>
          <w:rFonts w:hint="eastAsia" w:ascii="Cambria Math" w:hAnsi="Cambria Math" w:eastAsia="宋体" w:cs="Cambria Math"/>
          <w:i/>
          <w:iCs/>
          <w:color w:val="1A1A1A"/>
          <w:sz w:val="22"/>
          <w:szCs w:val="22"/>
          <w:lang w:val="en-US" w:eastAsia="zh-CN"/>
        </w:rPr>
        <w:t>1</w:t>
      </w:r>
    </w:p>
    <w:p w14:paraId="0A1615B0">
      <w:pPr>
        <w:spacing w:after="120" w:line="360" w:lineRule="auto"/>
      </w:pPr>
      <w:r>
        <w:rPr>
          <w:rFonts w:ascii="Arial" w:hAnsi="Arial" w:eastAsia="Arial" w:cs="Arial"/>
          <w:sz w:val="21"/>
          <w:szCs w:val="21"/>
        </w:rPr>
        <w:t>步骤 2：读取出口传感器值</w:t>
      </w:r>
    </w:p>
    <w:p w14:paraId="61FF7238">
      <w:pPr>
        <w:spacing w:before="160" w:after="160" w:line="360" w:lineRule="auto"/>
        <w:jc w:val="center"/>
      </w:pPr>
      <w:r>
        <w:rPr>
          <w:rFonts w:ascii="Cambria Math" w:hAnsi="Cambria Math" w:eastAsia="Cambria Math" w:cs="Cambria Math"/>
          <w:i/>
          <w:iCs/>
          <w:color w:val="1A1A1A"/>
          <w:sz w:val="22"/>
          <w:szCs w:val="22"/>
        </w:rPr>
        <w:t>V2 = NOxout + k</w:t>
      </w:r>
      <w:r>
        <w:rPr>
          <w:rFonts w:ascii="Cambria Math" w:hAnsi="Cambria Math" w:eastAsia="Cambria Math" w:cs="Cambria Math"/>
          <w:i/>
          <w:iCs/>
          <w:color w:val="1A1A1A"/>
          <w:sz w:val="13"/>
          <w:szCs w:val="13"/>
        </w:rPr>
        <w:t>NH3</w:t>
      </w:r>
      <w:r>
        <w:rPr>
          <w:rFonts w:ascii="Cambria Math" w:hAnsi="Cambria Math" w:eastAsia="Cambria Math" w:cs="Cambria Math"/>
          <w:i/>
          <w:iCs/>
          <w:color w:val="1A1A1A"/>
          <w:sz w:val="22"/>
          <w:szCs w:val="22"/>
        </w:rPr>
        <w:t xml:space="preserve"> × NH₃</w:t>
      </w:r>
    </w:p>
    <w:p w14:paraId="2F03CA11">
      <w:pPr>
        <w:spacing w:after="120" w:line="360" w:lineRule="auto"/>
      </w:pPr>
      <w:r>
        <w:rPr>
          <w:rFonts w:ascii="Arial" w:hAnsi="Arial" w:eastAsia="Arial" w:cs="Arial"/>
          <w:sz w:val="21"/>
          <w:szCs w:val="21"/>
        </w:rPr>
        <w:t>步骤 3：通过 SCR 效率模型预测出口真实 NOx</w:t>
      </w:r>
    </w:p>
    <w:p w14:paraId="0C22D574">
      <w:pPr>
        <w:spacing w:before="160" w:after="160" w:line="360" w:lineRule="auto"/>
        <w:jc w:val="center"/>
      </w:pPr>
      <w:r>
        <w:rPr>
          <w:rFonts w:ascii="Cambria Math" w:hAnsi="Cambria Math" w:eastAsia="Cambria Math" w:cs="Cambria Math"/>
          <w:i/>
          <w:iCs/>
          <w:color w:val="1A1A1A"/>
          <w:sz w:val="22"/>
          <w:szCs w:val="22"/>
        </w:rPr>
        <w:t>NOxout = NOxin × (1 - η_SCR)</w:t>
      </w:r>
    </w:p>
    <w:p w14:paraId="0540F7E3">
      <w:pPr>
        <w:spacing w:after="120" w:line="360" w:lineRule="auto"/>
      </w:pPr>
      <w:r>
        <w:rPr>
          <w:rFonts w:ascii="Arial" w:hAnsi="Arial" w:eastAsia="Arial" w:cs="Arial"/>
          <w:sz w:val="21"/>
          <w:szCs w:val="21"/>
        </w:rPr>
        <w:t>步骤 4：求解氨逃逸</w:t>
      </w:r>
    </w:p>
    <w:p w14:paraId="5CC638E8">
      <w:pPr>
        <w:spacing w:before="160" w:after="160" w:line="360" w:lineRule="auto"/>
        <w:jc w:val="center"/>
        <w:rPr>
          <w:rFonts w:ascii="Cambria Math" w:hAnsi="Cambria Math" w:eastAsia="Cambria Math" w:cs="Cambria Math"/>
          <w:i/>
          <w:iCs/>
          <w:color w:val="1A1A1A"/>
          <w:sz w:val="13"/>
          <w:szCs w:val="13"/>
        </w:rPr>
      </w:pPr>
      <w:r>
        <w:rPr>
          <w:rFonts w:ascii="Cambria Math" w:hAnsi="Cambria Math" w:eastAsia="Cambria Math" w:cs="Cambria Math"/>
          <w:i/>
          <w:iCs/>
          <w:color w:val="1A1A1A"/>
          <w:sz w:val="22"/>
          <w:szCs w:val="22"/>
        </w:rPr>
        <w:t>NH₃ ≈ (V2 - NOxout</w:t>
      </w:r>
      <w:r>
        <w:rPr>
          <w:rFonts w:hint="eastAsia" w:ascii="Cambria Math" w:hAnsi="Cambria Math" w:eastAsia="宋体" w:cs="Cambria Math"/>
          <w:i/>
          <w:iCs/>
          <w:color w:val="1A1A1A"/>
          <w:sz w:val="22"/>
          <w:szCs w:val="22"/>
          <w:lang w:val="en-US" w:eastAsia="zh-CN"/>
        </w:rPr>
        <w:t>)</w:t>
      </w:r>
      <w:r>
        <w:rPr>
          <w:rFonts w:ascii="Cambria Math" w:hAnsi="Cambria Math" w:eastAsia="Cambria Math" w:cs="Cambria Math"/>
          <w:i/>
          <w:iCs/>
          <w:color w:val="1A1A1A"/>
          <w:sz w:val="22"/>
          <w:szCs w:val="22"/>
        </w:rPr>
        <w:t xml:space="preserve"> / k</w:t>
      </w:r>
      <w:r>
        <w:rPr>
          <w:rFonts w:ascii="Cambria Math" w:hAnsi="Cambria Math" w:eastAsia="Cambria Math" w:cs="Cambria Math"/>
          <w:i/>
          <w:iCs/>
          <w:color w:val="1A1A1A"/>
          <w:sz w:val="13"/>
          <w:szCs w:val="13"/>
        </w:rPr>
        <w:t>NH3</w:t>
      </w:r>
    </w:p>
    <w:p w14:paraId="65144D22">
      <w:pPr>
        <w:spacing w:after="120" w:line="360" w:lineRule="auto"/>
        <w:rPr>
          <w:rFonts w:ascii="Cambria Math" w:hAnsi="Cambria Math" w:eastAsia="Cambria Math" w:cs="Cambria Math"/>
          <w:i/>
          <w:iCs/>
          <w:color w:val="1A1A1A"/>
          <w:sz w:val="22"/>
          <w:szCs w:val="22"/>
        </w:rPr>
      </w:pPr>
      <w:r>
        <w:rPr>
          <w:rFonts w:ascii="Arial" w:hAnsi="Arial" w:eastAsia="Arial" w:cs="Arial"/>
          <w:sz w:val="21"/>
          <w:szCs w:val="21"/>
        </w:rPr>
        <w:t xml:space="preserve">步骤 </w:t>
      </w:r>
      <w:r>
        <w:rPr>
          <w:rFonts w:hint="eastAsia" w:eastAsia="宋体" w:cs="Arial"/>
          <w:sz w:val="21"/>
          <w:szCs w:val="21"/>
          <w:lang w:val="en-US" w:eastAsia="zh-CN"/>
        </w:rPr>
        <w:t>5：</w:t>
      </w:r>
      <w:r>
        <w:rPr>
          <w:rFonts w:hint="eastAsia" w:ascii="Arial" w:hAnsi="Arial" w:eastAsia="Arial" w:cs="Arial"/>
          <w:sz w:val="21"/>
          <w:szCs w:val="21"/>
          <w:lang w:val="en-US" w:eastAsia="zh-CN"/>
        </w:rPr>
        <w:t>标定</w:t>
      </w:r>
      <w:r>
        <w:rPr>
          <w:rFonts w:ascii="Cambria Math" w:hAnsi="Cambria Math" w:eastAsia="Cambria Math" w:cs="Cambria Math"/>
          <w:i/>
          <w:iCs/>
          <w:color w:val="1A1A1A"/>
          <w:sz w:val="22"/>
          <w:szCs w:val="22"/>
        </w:rPr>
        <w:t>η_SCR</w:t>
      </w:r>
    </w:p>
    <w:p w14:paraId="71A36A04">
      <w:pPr>
        <w:spacing w:after="120" w:line="360" w:lineRule="auto"/>
        <w:rPr>
          <w:rFonts w:hint="eastAsia" w:ascii="Cambria Math" w:hAnsi="Cambria Math" w:eastAsia="宋体" w:cs="Cambria Math"/>
          <w:b w:val="0"/>
          <w:bCs w:val="0"/>
          <w:i w:val="0"/>
          <w:iCs w:val="0"/>
          <w:color w:val="1A1A1A"/>
          <w:sz w:val="22"/>
          <w:szCs w:val="22"/>
          <w:lang w:val="en-US" w:eastAsia="zh-CN"/>
        </w:rPr>
      </w:pPr>
      <w:r>
        <w:rPr>
          <w:rFonts w:hint="eastAsia" w:ascii="Cambria Math" w:hAnsi="Cambria Math" w:eastAsia="宋体" w:cs="Cambria Math"/>
          <w:b w:val="0"/>
          <w:bCs w:val="0"/>
          <w:i w:val="0"/>
          <w:iCs w:val="0"/>
          <w:color w:val="1A1A1A"/>
          <w:sz w:val="22"/>
          <w:szCs w:val="22"/>
          <w:lang w:val="en-US" w:eastAsia="zh-CN"/>
        </w:rPr>
        <w:t>设定任意喷射量（小于额定喷射量）。读取入口氮氧化物值和出口氮氧化物值。在五个不同的温度点。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2130"/>
        <w:gridCol w:w="2130"/>
        <w:gridCol w:w="2131"/>
        <w:gridCol w:w="2131"/>
      </w:tblGrid>
      <w:tr w14:paraId="4DE5C8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130" w:type="dxa"/>
          </w:tcPr>
          <w:p w14:paraId="5429268B">
            <w:pPr>
              <w:spacing w:after="120" w:line="360" w:lineRule="auto"/>
              <w:rPr>
                <w:rFonts w:hint="default" w:ascii="Cambria Math" w:hAnsi="Cambria Math" w:eastAsia="宋体" w:cs="Cambria Math"/>
                <w:b w:val="0"/>
                <w:bCs w:val="0"/>
                <w:i w:val="0"/>
                <w:iCs w:val="0"/>
                <w:color w:val="1A1A1A"/>
                <w:sz w:val="22"/>
                <w:szCs w:val="22"/>
                <w:vertAlign w:val="baseline"/>
                <w:lang w:val="en-US" w:eastAsia="zh-CN"/>
              </w:rPr>
            </w:pPr>
            <w:r>
              <w:rPr>
                <w:rFonts w:hint="eastAsia" w:ascii="Cambria Math" w:hAnsi="Cambria Math" w:eastAsia="宋体" w:cs="Cambria Math"/>
                <w:b w:val="0"/>
                <w:bCs w:val="0"/>
                <w:i w:val="0"/>
                <w:iCs w:val="0"/>
                <w:color w:val="1A1A1A"/>
                <w:sz w:val="22"/>
                <w:szCs w:val="22"/>
                <w:vertAlign w:val="baseline"/>
                <w:lang w:val="en-US" w:eastAsia="zh-CN"/>
              </w:rPr>
              <w:t>温度</w:t>
            </w:r>
          </w:p>
        </w:tc>
        <w:tc>
          <w:tcPr>
            <w:tcW w:w="2130" w:type="dxa"/>
          </w:tcPr>
          <w:p w14:paraId="79F87226">
            <w:pPr>
              <w:spacing w:after="120" w:line="360" w:lineRule="auto"/>
              <w:rPr>
                <w:rFonts w:hint="default" w:ascii="Cambria Math" w:hAnsi="Cambria Math" w:eastAsia="宋体" w:cs="Cambria Math"/>
                <w:b w:val="0"/>
                <w:bCs w:val="0"/>
                <w:i w:val="0"/>
                <w:iCs w:val="0"/>
                <w:color w:val="1A1A1A"/>
                <w:sz w:val="22"/>
                <w:szCs w:val="22"/>
                <w:vertAlign w:val="baseline"/>
                <w:lang w:val="en-US" w:eastAsia="zh-CN"/>
              </w:rPr>
            </w:pPr>
            <w:r>
              <w:rPr>
                <w:rFonts w:hint="eastAsia" w:ascii="Cambria Math" w:hAnsi="Cambria Math" w:eastAsia="宋体" w:cs="Cambria Math"/>
                <w:b w:val="0"/>
                <w:bCs w:val="0"/>
                <w:i w:val="0"/>
                <w:iCs w:val="0"/>
                <w:color w:val="1A1A1A"/>
                <w:sz w:val="22"/>
                <w:szCs w:val="22"/>
                <w:vertAlign w:val="baseline"/>
                <w:lang w:val="en-US" w:eastAsia="zh-CN"/>
              </w:rPr>
              <w:t>入口V1</w:t>
            </w:r>
          </w:p>
        </w:tc>
        <w:tc>
          <w:tcPr>
            <w:tcW w:w="2131" w:type="dxa"/>
          </w:tcPr>
          <w:p w14:paraId="4D63A951">
            <w:pPr>
              <w:spacing w:after="120" w:line="360" w:lineRule="auto"/>
              <w:rPr>
                <w:rFonts w:hint="default" w:ascii="Cambria Math" w:hAnsi="Cambria Math" w:eastAsia="宋体" w:cs="Cambria Math"/>
                <w:b w:val="0"/>
                <w:bCs w:val="0"/>
                <w:i w:val="0"/>
                <w:iCs w:val="0"/>
                <w:color w:val="1A1A1A"/>
                <w:sz w:val="22"/>
                <w:szCs w:val="22"/>
                <w:vertAlign w:val="baseline"/>
                <w:lang w:val="en-US" w:eastAsia="zh-CN"/>
              </w:rPr>
            </w:pPr>
            <w:r>
              <w:rPr>
                <w:rFonts w:hint="eastAsia" w:ascii="Cambria Math" w:hAnsi="Cambria Math" w:eastAsia="宋体" w:cs="Cambria Math"/>
                <w:b w:val="0"/>
                <w:bCs w:val="0"/>
                <w:i w:val="0"/>
                <w:iCs w:val="0"/>
                <w:color w:val="1A1A1A"/>
                <w:sz w:val="22"/>
                <w:szCs w:val="22"/>
                <w:vertAlign w:val="baseline"/>
                <w:lang w:val="en-US" w:eastAsia="zh-CN"/>
              </w:rPr>
              <w:t>出口V2</w:t>
            </w:r>
          </w:p>
        </w:tc>
        <w:tc>
          <w:tcPr>
            <w:tcW w:w="2131" w:type="dxa"/>
          </w:tcPr>
          <w:p w14:paraId="7F91DBF9">
            <w:pPr>
              <w:spacing w:after="120" w:line="360" w:lineRule="auto"/>
              <w:rPr>
                <w:rFonts w:hint="default" w:ascii="Cambria Math" w:hAnsi="Cambria Math" w:eastAsia="宋体" w:cs="Cambria Math"/>
                <w:b w:val="0"/>
                <w:bCs w:val="0"/>
                <w:i w:val="0"/>
                <w:iCs w:val="0"/>
                <w:color w:val="1A1A1A"/>
                <w:sz w:val="22"/>
                <w:szCs w:val="22"/>
                <w:vertAlign w:val="baseline"/>
                <w:lang w:val="en-US" w:eastAsia="zh-CN"/>
              </w:rPr>
            </w:pPr>
            <w:r>
              <w:rPr>
                <w:rFonts w:ascii="Cambria Math" w:hAnsi="Cambria Math" w:eastAsia="Cambria Math" w:cs="Cambria Math"/>
                <w:i/>
                <w:iCs/>
                <w:color w:val="1A1A1A"/>
                <w:sz w:val="22"/>
                <w:szCs w:val="22"/>
              </w:rPr>
              <w:t>η_SCR</w:t>
            </w:r>
          </w:p>
        </w:tc>
      </w:tr>
      <w:tr w14:paraId="62479A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</w:tcPr>
          <w:p w14:paraId="67C38F19">
            <w:pPr>
              <w:spacing w:after="120" w:line="360" w:lineRule="auto"/>
              <w:rPr>
                <w:rFonts w:hint="default" w:ascii="Cambria Math" w:hAnsi="Cambria Math" w:eastAsia="宋体" w:cs="Cambria Math"/>
                <w:b w:val="0"/>
                <w:bCs w:val="0"/>
                <w:i w:val="0"/>
                <w:iCs w:val="0"/>
                <w:color w:val="1A1A1A"/>
                <w:sz w:val="22"/>
                <w:szCs w:val="22"/>
                <w:vertAlign w:val="baseline"/>
                <w:lang w:val="en-US" w:eastAsia="zh-CN"/>
              </w:rPr>
            </w:pPr>
            <w:r>
              <w:rPr>
                <w:rFonts w:hint="eastAsia" w:ascii="Cambria Math" w:hAnsi="Cambria Math" w:eastAsia="宋体" w:cs="Cambria Math"/>
                <w:b w:val="0"/>
                <w:bCs w:val="0"/>
                <w:i w:val="0"/>
                <w:iCs w:val="0"/>
                <w:color w:val="1A1A1A"/>
                <w:sz w:val="22"/>
                <w:szCs w:val="22"/>
                <w:vertAlign w:val="baseline"/>
                <w:lang w:val="en-US" w:eastAsia="zh-CN"/>
              </w:rPr>
              <w:t>300</w:t>
            </w:r>
          </w:p>
        </w:tc>
        <w:tc>
          <w:tcPr>
            <w:tcW w:w="2130" w:type="dxa"/>
          </w:tcPr>
          <w:p w14:paraId="1E8ECC1B">
            <w:pPr>
              <w:spacing w:after="120" w:line="360" w:lineRule="auto"/>
              <w:rPr>
                <w:rFonts w:hint="default" w:ascii="Cambria Math" w:hAnsi="Cambria Math" w:eastAsia="宋体" w:cs="Cambria Math"/>
                <w:b w:val="0"/>
                <w:bCs w:val="0"/>
                <w:i w:val="0"/>
                <w:iCs w:val="0"/>
                <w:color w:val="1A1A1A"/>
                <w:sz w:val="22"/>
                <w:szCs w:val="22"/>
                <w:vertAlign w:val="baseline"/>
                <w:lang w:val="en-US" w:eastAsia="zh-CN"/>
              </w:rPr>
            </w:pPr>
          </w:p>
        </w:tc>
        <w:tc>
          <w:tcPr>
            <w:tcW w:w="2131" w:type="dxa"/>
          </w:tcPr>
          <w:p w14:paraId="455C803E">
            <w:pPr>
              <w:spacing w:after="120" w:line="360" w:lineRule="auto"/>
              <w:rPr>
                <w:rFonts w:hint="default" w:ascii="Cambria Math" w:hAnsi="Cambria Math" w:eastAsia="宋体" w:cs="Cambria Math"/>
                <w:b w:val="0"/>
                <w:bCs w:val="0"/>
                <w:i w:val="0"/>
                <w:iCs w:val="0"/>
                <w:color w:val="1A1A1A"/>
                <w:sz w:val="22"/>
                <w:szCs w:val="22"/>
                <w:vertAlign w:val="baseline"/>
                <w:lang w:val="en-US" w:eastAsia="zh-CN"/>
              </w:rPr>
            </w:pPr>
          </w:p>
        </w:tc>
        <w:tc>
          <w:tcPr>
            <w:tcW w:w="2131" w:type="dxa"/>
          </w:tcPr>
          <w:p w14:paraId="4663C37A">
            <w:pPr>
              <w:spacing w:after="120" w:line="360" w:lineRule="auto"/>
              <w:rPr>
                <w:rFonts w:hint="default" w:ascii="Cambria Math" w:hAnsi="Cambria Math" w:eastAsia="宋体" w:cs="Cambria Math"/>
                <w:b w:val="0"/>
                <w:bCs w:val="0"/>
                <w:i w:val="0"/>
                <w:iCs w:val="0"/>
                <w:color w:val="1A1A1A"/>
                <w:sz w:val="22"/>
                <w:szCs w:val="22"/>
                <w:vertAlign w:val="baseline"/>
                <w:lang w:val="en-US" w:eastAsia="zh-CN"/>
              </w:rPr>
            </w:pPr>
          </w:p>
        </w:tc>
      </w:tr>
      <w:tr w14:paraId="2DBD29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</w:tcPr>
          <w:p w14:paraId="359A9D24">
            <w:pPr>
              <w:spacing w:after="120" w:line="360" w:lineRule="auto"/>
              <w:rPr>
                <w:rFonts w:hint="default" w:ascii="Cambria Math" w:hAnsi="Cambria Math" w:eastAsia="宋体" w:cs="Cambria Math"/>
                <w:b w:val="0"/>
                <w:bCs w:val="0"/>
                <w:i w:val="0"/>
                <w:iCs w:val="0"/>
                <w:color w:val="1A1A1A"/>
                <w:sz w:val="22"/>
                <w:szCs w:val="22"/>
                <w:vertAlign w:val="baseline"/>
                <w:lang w:val="en-US" w:eastAsia="zh-CN"/>
              </w:rPr>
            </w:pPr>
            <w:r>
              <w:rPr>
                <w:rFonts w:hint="eastAsia" w:ascii="Cambria Math" w:hAnsi="Cambria Math" w:eastAsia="宋体" w:cs="Cambria Math"/>
                <w:b w:val="0"/>
                <w:bCs w:val="0"/>
                <w:i w:val="0"/>
                <w:iCs w:val="0"/>
                <w:color w:val="1A1A1A"/>
                <w:sz w:val="22"/>
                <w:szCs w:val="22"/>
                <w:vertAlign w:val="baseline"/>
                <w:lang w:val="en-US" w:eastAsia="zh-CN"/>
              </w:rPr>
              <w:t>350</w:t>
            </w:r>
          </w:p>
        </w:tc>
        <w:tc>
          <w:tcPr>
            <w:tcW w:w="2130" w:type="dxa"/>
          </w:tcPr>
          <w:p w14:paraId="624C18A9">
            <w:pPr>
              <w:spacing w:after="120" w:line="360" w:lineRule="auto"/>
              <w:rPr>
                <w:rFonts w:hint="default" w:ascii="Cambria Math" w:hAnsi="Cambria Math" w:eastAsia="宋体" w:cs="Cambria Math"/>
                <w:b w:val="0"/>
                <w:bCs w:val="0"/>
                <w:i w:val="0"/>
                <w:iCs w:val="0"/>
                <w:color w:val="1A1A1A"/>
                <w:sz w:val="22"/>
                <w:szCs w:val="22"/>
                <w:vertAlign w:val="baseline"/>
                <w:lang w:val="en-US" w:eastAsia="zh-CN"/>
              </w:rPr>
            </w:pPr>
          </w:p>
        </w:tc>
        <w:tc>
          <w:tcPr>
            <w:tcW w:w="2131" w:type="dxa"/>
          </w:tcPr>
          <w:p w14:paraId="4A529011">
            <w:pPr>
              <w:spacing w:after="120" w:line="360" w:lineRule="auto"/>
              <w:rPr>
                <w:rFonts w:hint="default" w:ascii="Cambria Math" w:hAnsi="Cambria Math" w:eastAsia="宋体" w:cs="Cambria Math"/>
                <w:b w:val="0"/>
                <w:bCs w:val="0"/>
                <w:i w:val="0"/>
                <w:iCs w:val="0"/>
                <w:color w:val="1A1A1A"/>
                <w:sz w:val="22"/>
                <w:szCs w:val="22"/>
                <w:vertAlign w:val="baseline"/>
                <w:lang w:val="en-US" w:eastAsia="zh-CN"/>
              </w:rPr>
            </w:pPr>
          </w:p>
        </w:tc>
        <w:tc>
          <w:tcPr>
            <w:tcW w:w="2131" w:type="dxa"/>
          </w:tcPr>
          <w:p w14:paraId="6C88FB2C">
            <w:pPr>
              <w:spacing w:after="120" w:line="360" w:lineRule="auto"/>
              <w:rPr>
                <w:rFonts w:hint="default" w:ascii="Cambria Math" w:hAnsi="Cambria Math" w:eastAsia="宋体" w:cs="Cambria Math"/>
                <w:b w:val="0"/>
                <w:bCs w:val="0"/>
                <w:i w:val="0"/>
                <w:iCs w:val="0"/>
                <w:color w:val="1A1A1A"/>
                <w:sz w:val="22"/>
                <w:szCs w:val="22"/>
                <w:vertAlign w:val="baseline"/>
                <w:lang w:val="en-US" w:eastAsia="zh-CN"/>
              </w:rPr>
            </w:pPr>
          </w:p>
        </w:tc>
      </w:tr>
      <w:tr w14:paraId="1BDA0B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</w:tcPr>
          <w:p w14:paraId="7B90CEC9">
            <w:pPr>
              <w:spacing w:after="120" w:line="360" w:lineRule="auto"/>
              <w:rPr>
                <w:rFonts w:hint="default" w:ascii="Cambria Math" w:hAnsi="Cambria Math" w:eastAsia="宋体" w:cs="Cambria Math"/>
                <w:b w:val="0"/>
                <w:bCs w:val="0"/>
                <w:i w:val="0"/>
                <w:iCs w:val="0"/>
                <w:color w:val="1A1A1A"/>
                <w:sz w:val="22"/>
                <w:szCs w:val="22"/>
                <w:vertAlign w:val="baseline"/>
                <w:lang w:val="en-US" w:eastAsia="zh-CN"/>
              </w:rPr>
            </w:pPr>
            <w:r>
              <w:rPr>
                <w:rFonts w:hint="eastAsia" w:ascii="Cambria Math" w:hAnsi="Cambria Math" w:eastAsia="宋体" w:cs="Cambria Math"/>
                <w:b w:val="0"/>
                <w:bCs w:val="0"/>
                <w:i w:val="0"/>
                <w:iCs w:val="0"/>
                <w:color w:val="1A1A1A"/>
                <w:sz w:val="22"/>
                <w:szCs w:val="22"/>
                <w:vertAlign w:val="baseline"/>
                <w:lang w:val="en-US" w:eastAsia="zh-CN"/>
              </w:rPr>
              <w:t>400</w:t>
            </w:r>
          </w:p>
        </w:tc>
        <w:tc>
          <w:tcPr>
            <w:tcW w:w="2130" w:type="dxa"/>
          </w:tcPr>
          <w:p w14:paraId="3D6F54F2">
            <w:pPr>
              <w:spacing w:after="120" w:line="360" w:lineRule="auto"/>
              <w:rPr>
                <w:rFonts w:hint="default" w:ascii="Cambria Math" w:hAnsi="Cambria Math" w:eastAsia="宋体" w:cs="Cambria Math"/>
                <w:b w:val="0"/>
                <w:bCs w:val="0"/>
                <w:i w:val="0"/>
                <w:iCs w:val="0"/>
                <w:color w:val="1A1A1A"/>
                <w:sz w:val="22"/>
                <w:szCs w:val="22"/>
                <w:vertAlign w:val="baseline"/>
                <w:lang w:val="en-US" w:eastAsia="zh-CN"/>
              </w:rPr>
            </w:pPr>
          </w:p>
        </w:tc>
        <w:tc>
          <w:tcPr>
            <w:tcW w:w="2131" w:type="dxa"/>
          </w:tcPr>
          <w:p w14:paraId="60085F78">
            <w:pPr>
              <w:spacing w:after="120" w:line="360" w:lineRule="auto"/>
              <w:rPr>
                <w:rFonts w:hint="default" w:ascii="Cambria Math" w:hAnsi="Cambria Math" w:eastAsia="宋体" w:cs="Cambria Math"/>
                <w:b w:val="0"/>
                <w:bCs w:val="0"/>
                <w:i w:val="0"/>
                <w:iCs w:val="0"/>
                <w:color w:val="1A1A1A"/>
                <w:sz w:val="22"/>
                <w:szCs w:val="22"/>
                <w:vertAlign w:val="baseline"/>
                <w:lang w:val="en-US" w:eastAsia="zh-CN"/>
              </w:rPr>
            </w:pPr>
          </w:p>
        </w:tc>
        <w:tc>
          <w:tcPr>
            <w:tcW w:w="2131" w:type="dxa"/>
          </w:tcPr>
          <w:p w14:paraId="662F9193">
            <w:pPr>
              <w:spacing w:after="120" w:line="360" w:lineRule="auto"/>
              <w:rPr>
                <w:rFonts w:hint="default" w:ascii="Cambria Math" w:hAnsi="Cambria Math" w:eastAsia="宋体" w:cs="Cambria Math"/>
                <w:b w:val="0"/>
                <w:bCs w:val="0"/>
                <w:i w:val="0"/>
                <w:iCs w:val="0"/>
                <w:color w:val="1A1A1A"/>
                <w:sz w:val="22"/>
                <w:szCs w:val="22"/>
                <w:vertAlign w:val="baseline"/>
                <w:lang w:val="en-US" w:eastAsia="zh-CN"/>
              </w:rPr>
            </w:pPr>
          </w:p>
        </w:tc>
      </w:tr>
      <w:tr w14:paraId="16B418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</w:tcPr>
          <w:p w14:paraId="46942B7F">
            <w:pPr>
              <w:spacing w:after="120" w:line="360" w:lineRule="auto"/>
              <w:rPr>
                <w:rFonts w:hint="default" w:ascii="Cambria Math" w:hAnsi="Cambria Math" w:eastAsia="宋体" w:cs="Cambria Math"/>
                <w:b w:val="0"/>
                <w:bCs w:val="0"/>
                <w:i w:val="0"/>
                <w:iCs w:val="0"/>
                <w:color w:val="1A1A1A"/>
                <w:sz w:val="22"/>
                <w:szCs w:val="22"/>
                <w:vertAlign w:val="baseline"/>
                <w:lang w:val="en-US" w:eastAsia="zh-CN"/>
              </w:rPr>
            </w:pPr>
            <w:r>
              <w:rPr>
                <w:rFonts w:hint="eastAsia" w:ascii="Cambria Math" w:hAnsi="Cambria Math" w:eastAsia="宋体" w:cs="Cambria Math"/>
                <w:b w:val="0"/>
                <w:bCs w:val="0"/>
                <w:i w:val="0"/>
                <w:iCs w:val="0"/>
                <w:color w:val="1A1A1A"/>
                <w:sz w:val="22"/>
                <w:szCs w:val="22"/>
                <w:vertAlign w:val="baseline"/>
                <w:lang w:val="en-US" w:eastAsia="zh-CN"/>
              </w:rPr>
              <w:t>450</w:t>
            </w:r>
          </w:p>
        </w:tc>
        <w:tc>
          <w:tcPr>
            <w:tcW w:w="2130" w:type="dxa"/>
          </w:tcPr>
          <w:p w14:paraId="6AB947A3">
            <w:pPr>
              <w:spacing w:after="120" w:line="360" w:lineRule="auto"/>
              <w:rPr>
                <w:rFonts w:hint="default" w:ascii="Cambria Math" w:hAnsi="Cambria Math" w:eastAsia="宋体" w:cs="Cambria Math"/>
                <w:b w:val="0"/>
                <w:bCs w:val="0"/>
                <w:i w:val="0"/>
                <w:iCs w:val="0"/>
                <w:color w:val="1A1A1A"/>
                <w:sz w:val="22"/>
                <w:szCs w:val="22"/>
                <w:vertAlign w:val="baseline"/>
                <w:lang w:val="en-US" w:eastAsia="zh-CN"/>
              </w:rPr>
            </w:pPr>
          </w:p>
        </w:tc>
        <w:tc>
          <w:tcPr>
            <w:tcW w:w="2131" w:type="dxa"/>
          </w:tcPr>
          <w:p w14:paraId="0EB908D3">
            <w:pPr>
              <w:spacing w:after="120" w:line="360" w:lineRule="auto"/>
              <w:rPr>
                <w:rFonts w:hint="default" w:ascii="Cambria Math" w:hAnsi="Cambria Math" w:eastAsia="宋体" w:cs="Cambria Math"/>
                <w:b w:val="0"/>
                <w:bCs w:val="0"/>
                <w:i w:val="0"/>
                <w:iCs w:val="0"/>
                <w:color w:val="1A1A1A"/>
                <w:sz w:val="22"/>
                <w:szCs w:val="22"/>
                <w:vertAlign w:val="baseline"/>
                <w:lang w:val="en-US" w:eastAsia="zh-CN"/>
              </w:rPr>
            </w:pPr>
          </w:p>
        </w:tc>
        <w:tc>
          <w:tcPr>
            <w:tcW w:w="2131" w:type="dxa"/>
          </w:tcPr>
          <w:p w14:paraId="34FAEEFA">
            <w:pPr>
              <w:spacing w:after="120" w:line="360" w:lineRule="auto"/>
              <w:rPr>
                <w:rFonts w:hint="default" w:ascii="Cambria Math" w:hAnsi="Cambria Math" w:eastAsia="宋体" w:cs="Cambria Math"/>
                <w:b w:val="0"/>
                <w:bCs w:val="0"/>
                <w:i w:val="0"/>
                <w:iCs w:val="0"/>
                <w:color w:val="1A1A1A"/>
                <w:sz w:val="22"/>
                <w:szCs w:val="22"/>
                <w:vertAlign w:val="baseline"/>
                <w:lang w:val="en-US" w:eastAsia="zh-CN"/>
              </w:rPr>
            </w:pPr>
          </w:p>
        </w:tc>
      </w:tr>
      <w:tr w14:paraId="03EF65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</w:tcPr>
          <w:p w14:paraId="225712E5">
            <w:pPr>
              <w:spacing w:after="120" w:line="360" w:lineRule="auto"/>
              <w:rPr>
                <w:rFonts w:hint="default" w:ascii="Cambria Math" w:hAnsi="Cambria Math" w:eastAsia="宋体" w:cs="Cambria Math"/>
                <w:b w:val="0"/>
                <w:bCs w:val="0"/>
                <w:i w:val="0"/>
                <w:iCs w:val="0"/>
                <w:color w:val="1A1A1A"/>
                <w:sz w:val="22"/>
                <w:szCs w:val="22"/>
                <w:vertAlign w:val="baseline"/>
                <w:lang w:val="en-US" w:eastAsia="zh-CN"/>
              </w:rPr>
            </w:pPr>
            <w:r>
              <w:rPr>
                <w:rFonts w:hint="eastAsia" w:ascii="Cambria Math" w:hAnsi="Cambria Math" w:eastAsia="宋体" w:cs="Cambria Math"/>
                <w:b w:val="0"/>
                <w:bCs w:val="0"/>
                <w:i w:val="0"/>
                <w:iCs w:val="0"/>
                <w:color w:val="1A1A1A"/>
                <w:sz w:val="22"/>
                <w:szCs w:val="22"/>
                <w:vertAlign w:val="baseline"/>
                <w:lang w:val="en-US" w:eastAsia="zh-CN"/>
              </w:rPr>
              <w:t>500</w:t>
            </w:r>
          </w:p>
        </w:tc>
        <w:tc>
          <w:tcPr>
            <w:tcW w:w="2130" w:type="dxa"/>
          </w:tcPr>
          <w:p w14:paraId="532CCDF7">
            <w:pPr>
              <w:spacing w:after="120" w:line="360" w:lineRule="auto"/>
              <w:rPr>
                <w:rFonts w:hint="default" w:ascii="Cambria Math" w:hAnsi="Cambria Math" w:eastAsia="宋体" w:cs="Cambria Math"/>
                <w:b w:val="0"/>
                <w:bCs w:val="0"/>
                <w:i w:val="0"/>
                <w:iCs w:val="0"/>
                <w:color w:val="1A1A1A"/>
                <w:sz w:val="22"/>
                <w:szCs w:val="22"/>
                <w:vertAlign w:val="baseline"/>
                <w:lang w:val="en-US" w:eastAsia="zh-CN"/>
              </w:rPr>
            </w:pPr>
          </w:p>
        </w:tc>
        <w:tc>
          <w:tcPr>
            <w:tcW w:w="2131" w:type="dxa"/>
          </w:tcPr>
          <w:p w14:paraId="63788B91">
            <w:pPr>
              <w:spacing w:after="120" w:line="360" w:lineRule="auto"/>
              <w:rPr>
                <w:rFonts w:hint="default" w:ascii="Cambria Math" w:hAnsi="Cambria Math" w:eastAsia="宋体" w:cs="Cambria Math"/>
                <w:b w:val="0"/>
                <w:bCs w:val="0"/>
                <w:i w:val="0"/>
                <w:iCs w:val="0"/>
                <w:color w:val="1A1A1A"/>
                <w:sz w:val="22"/>
                <w:szCs w:val="22"/>
                <w:vertAlign w:val="baseline"/>
                <w:lang w:val="en-US" w:eastAsia="zh-CN"/>
              </w:rPr>
            </w:pPr>
          </w:p>
        </w:tc>
        <w:tc>
          <w:tcPr>
            <w:tcW w:w="2131" w:type="dxa"/>
          </w:tcPr>
          <w:p w14:paraId="63028930">
            <w:pPr>
              <w:spacing w:after="120" w:line="360" w:lineRule="auto"/>
              <w:rPr>
                <w:rFonts w:hint="default" w:ascii="Cambria Math" w:hAnsi="Cambria Math" w:eastAsia="宋体" w:cs="Cambria Math"/>
                <w:b w:val="0"/>
                <w:bCs w:val="0"/>
                <w:i w:val="0"/>
                <w:iCs w:val="0"/>
                <w:color w:val="1A1A1A"/>
                <w:sz w:val="22"/>
                <w:szCs w:val="22"/>
                <w:vertAlign w:val="baseline"/>
                <w:lang w:val="en-US" w:eastAsia="zh-CN"/>
              </w:rPr>
            </w:pPr>
          </w:p>
        </w:tc>
      </w:tr>
    </w:tbl>
    <w:p w14:paraId="18BBF40D">
      <w:pPr>
        <w:spacing w:after="120" w:line="360" w:lineRule="auto"/>
        <w:jc w:val="both"/>
        <m:rPr/>
        <w:rPr>
          <w:rFonts w:hint="eastAsia" w:eastAsia="宋体"/>
          <w:i w:val="0"/>
          <w:lang w:val="en-US" w:eastAsia="zh-CN"/>
        </w:rPr>
      </w:pPr>
      <w:r>
        <m:rPr/>
        <w:rPr>
          <w:rFonts w:hint="eastAsia" w:eastAsia="宋体"/>
          <w:i w:val="0"/>
          <w:lang w:val="en-US" w:eastAsia="zh-CN"/>
        </w:rPr>
        <w:t>计算公式</w:t>
      </w:r>
      <m:oMath>
        <m:r>
          <w:rPr>
            <w:rFonts w:ascii="Cambria Math" w:hAnsi="Cambria Math" w:eastAsia="Cambria Math" w:cs="Cambria Math"/>
            <w:color w:val="1A1A1A"/>
            <w:sz w:val="22"/>
            <w:szCs w:val="22"/>
          </w:rPr>
          <m:t>η_SCR</m:t>
        </m:r>
        <m:r>
          <m:rPr/>
          <w:rPr>
            <w:rFonts w:hint="default" w:ascii="Cambria Math"/>
          </w:rPr>
          <m:t>=(</m:t>
        </m:r>
        <m:r>
          <m:rPr/>
          <w:rPr>
            <w:rFonts w:hint="default" w:ascii="Cambria Math" w:eastAsia="宋体"/>
            <w:lang w:val="en-US" w:eastAsia="zh-CN"/>
          </w:rPr>
          <m:t>V1</m:t>
        </m:r>
        <m:r>
          <m:rPr/>
          <w:rPr>
            <w:rFonts w:hint="default" w:ascii="Cambria Math"/>
          </w:rPr>
          <m:t>−</m:t>
        </m:r>
        <m:r>
          <m:rPr/>
          <w:rPr>
            <w:rFonts w:hint="default" w:ascii="Cambria Math" w:eastAsia="宋体"/>
            <w:lang w:val="en-US" w:eastAsia="zh-CN"/>
          </w:rPr>
          <m:t>V2</m:t>
        </m:r>
        <m:r>
          <m:rPr/>
          <w:rPr>
            <w:rFonts w:hint="default" w:ascii="Cambria Math"/>
          </w:rPr>
          <m:t>)/</m:t>
        </m:r>
      </m:oMath>
      <w:r>
        <m:rPr/>
        <w:rPr>
          <w:rFonts w:hint="eastAsia" w:eastAsia="宋体"/>
          <w:i w:val="0"/>
          <w:lang w:val="en-US" w:eastAsia="zh-CN"/>
        </w:rPr>
        <w:t>V1</w:t>
      </w:r>
    </w:p>
    <w:p w14:paraId="3C94F9DC">
      <w:pPr>
        <w:spacing w:after="120" w:line="360" w:lineRule="auto"/>
        <w:jc w:val="both"/>
        <m:rPr/>
        <w:rPr>
          <w:rFonts w:hint="eastAsia" w:eastAsia="宋体"/>
          <w:i w:val="0"/>
          <w:lang w:val="en-US" w:eastAsia="zh-CN"/>
        </w:rPr>
      </w:pPr>
      <w:r>
        <m:rPr/>
        <w:rPr>
          <w:rFonts w:hint="eastAsia" w:eastAsia="宋体"/>
          <w:i w:val="0"/>
          <w:lang w:val="en-US" w:eastAsia="zh-CN"/>
        </w:rPr>
        <w:t>这个值结合厂家给出的检测数据，得出我们自己的系数，因为厂家的数据往往不可信，如果不是国家强制要求的检验数据，造假情况很普遍，所以就要自己标定。</w:t>
      </w:r>
    </w:p>
    <w:p w14:paraId="2F304547">
      <w:pPr>
        <w:spacing w:after="120" w:line="360" w:lineRule="auto"/>
        <w:jc w:val="both"/>
        <m:rPr/>
        <w:rPr>
          <w:rFonts w:hint="default" w:eastAsia="宋体"/>
          <w:i w:val="0"/>
          <w:lang w:val="en-US" w:eastAsia="zh-CN"/>
        </w:rPr>
      </w:pPr>
      <w:r>
        <m:rPr/>
        <w:rPr>
          <w:rFonts w:hint="eastAsia" w:eastAsia="宋体"/>
          <w:i w:val="0"/>
          <w:lang w:val="en-US" w:eastAsia="zh-CN"/>
        </w:rPr>
        <w:t>在新系统中具体工程化。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Segoe UI Emoji">
    <w:panose1 w:val="020B0502040204020203"/>
    <w:charset w:val="00"/>
    <w:family w:val="auto"/>
    <w:pitch w:val="default"/>
    <w:sig w:usb0="00000001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multilevel"/>
    <w:tmpl w:val="0053208E"/>
    <w:lvl w:ilvl="0" w:tentative="0">
      <w:start w:val="1"/>
      <w:numFmt w:val="bullet"/>
      <w:lvlText w:val="•"/>
      <w:lvlJc w:val="left"/>
      <w:pPr>
        <w:ind w:left="720" w:hanging="360"/>
      </w:pPr>
    </w:lvl>
    <w:lvl w:ilvl="1" w:tentative="0">
      <w:start w:val="1"/>
      <w:numFmt w:val="bullet"/>
      <w:lvlText w:val="◦"/>
      <w:lvlJc w:val="left"/>
      <w:pPr>
        <w:ind w:left="10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063464A"/>
    <w:rsid w:val="506346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Arial" w:hAnsi="Arial" w:eastAsia="Arial" w:cs="Arial"/>
      <w:sz w:val="21"/>
      <w:szCs w:val="21"/>
    </w:rPr>
  </w:style>
  <w:style w:type="paragraph" w:styleId="2">
    <w:name w:val="heading 1"/>
    <w:next w:val="1"/>
    <w:qFormat/>
    <w:uiPriority w:val="0"/>
    <w:pPr>
      <w:spacing w:before="360" w:after="200"/>
      <w:outlineLvl w:val="0"/>
    </w:pPr>
    <w:rPr>
      <w:rFonts w:ascii="Arial" w:hAnsi="Arial" w:eastAsia="Arial" w:cs="Arial"/>
      <w:b/>
      <w:bCs/>
      <w:color w:val="1F4E79"/>
      <w:sz w:val="32"/>
      <w:szCs w:val="32"/>
    </w:rPr>
  </w:style>
  <w:style w:type="paragraph" w:styleId="3">
    <w:name w:val="heading 2"/>
    <w:next w:val="1"/>
    <w:qFormat/>
    <w:uiPriority w:val="0"/>
    <w:pPr>
      <w:spacing w:before="280" w:after="160"/>
      <w:outlineLvl w:val="1"/>
    </w:pPr>
    <w:rPr>
      <w:rFonts w:ascii="Arial" w:hAnsi="Arial" w:eastAsia="Arial" w:cs="Arial"/>
      <w:b/>
      <w:bCs/>
      <w:color w:val="2E75B6"/>
      <w:sz w:val="26"/>
      <w:szCs w:val="26"/>
    </w:rPr>
  </w:style>
  <w:style w:type="character" w:default="1" w:styleId="6">
    <w:name w:val="Default Paragraph Font"/>
    <w:semiHidden/>
    <w:qFormat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5">
    <w:name w:val="Table Grid"/>
    <w:basedOn w:val="4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7">
    <w:name w:val="List Paragraph"/>
    <w:qFormat/>
    <w:uiPriority w:val="0"/>
    <w:rPr>
      <w:rFonts w:ascii="Arial" w:hAnsi="Arial" w:eastAsia="Arial" w:cs="Arial"/>
      <w:sz w:val="21"/>
      <w:szCs w:val="21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37</TotalTime>
  <ScaleCrop>false</ScaleCrop>
  <LinksUpToDate>false</LinksUpToDate>
  <CharactersWithSpaces>0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2026-04-29T00:50:00Z</dcterms:created>
  <dc:creator>毕亚杰</dc:creator>
  <cp:lastModifiedBy>毕亚杰</cp:lastModifiedBy>
  <dcterms:modified xsi:type="dcterms:W3CDTF">2026-04-29T01:37:34Z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ICV">
    <vt:lpwstr>A55088197F2B427B86FADC0ACFDBC2D4_11</vt:lpwstr>
  </property>
  <property fmtid="{D5CDD505-2E9C-101B-9397-08002B2CF9AE}" pid="4" name="KSOTemplateDocerSaveRecord">
    <vt:lpwstr>eyJoZGlkIjoiZmM4MjA3YmNjYjFkYzgzNDM3MTQ5NmIzOTc4ZmI1YjUiLCJ1c2VySWQiOiI3ODU2NTcxMTEifQ==</vt:lpwstr>
  </property>
</Properties>
</file>