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362E8">
      <w:pPr>
        <w:pStyle w:val="2"/>
        <w:spacing w:before="280" w:after="1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前后双传感器差值法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计算氨逃逸</w:t>
      </w:r>
    </w:p>
    <w:p w14:paraId="7EF38DD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在 SCR 催化器前后各装一个 NOx 传感器，通过差值估算氨逃逸量。</w:t>
      </w:r>
    </w:p>
    <w:p w14:paraId="42526BAF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SCR 入口安装 NOx 传感器1，测量入口 NOx 浓度</w:t>
      </w:r>
    </w:p>
    <w:p w14:paraId="77D984C4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SCR 出口安装 NOx 传感器2，测量出口混合信号</w:t>
      </w:r>
    </w:p>
    <w:p w14:paraId="71D5706B">
      <w:pPr>
        <w:pStyle w:val="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已有 SCR 转化效率模型或查表</w:t>
      </w:r>
    </w:p>
    <w:p w14:paraId="7B28F68E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算法步骤：</w:t>
      </w:r>
    </w:p>
    <w:p w14:paraId="74AAB98A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1：读取入口传感器值</w:t>
      </w:r>
    </w:p>
    <w:p w14:paraId="112C1DCB">
      <w:pPr>
        <w:spacing w:before="160" w:after="160" w:line="360" w:lineRule="auto"/>
        <w:jc w:val="center"/>
        <w:rPr>
          <w:rFonts w:hint="eastAsia" w:eastAsia="宋体"/>
          <w:lang w:val="en-US" w:eastAsia="zh-CN"/>
        </w:rPr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NOx</w:t>
      </w:r>
      <w:r>
        <w:rPr>
          <w:rFonts w:ascii="Cambria Math" w:hAnsi="Cambria Math" w:eastAsia="Cambria Math" w:cs="Cambria Math"/>
          <w:i/>
          <w:iCs/>
          <w:color w:val="1A1A1A"/>
          <w:sz w:val="13"/>
          <w:szCs w:val="13"/>
        </w:rPr>
        <w:t>in</w:t>
      </w: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 xml:space="preserve"> = V</w:t>
      </w:r>
      <w:r>
        <w:rPr>
          <w:rFonts w:hint="eastAsia" w:ascii="Cambria Math" w:hAnsi="Cambria Math" w:eastAsia="宋体" w:cs="Cambria Math"/>
          <w:i/>
          <w:iCs/>
          <w:color w:val="1A1A1A"/>
          <w:sz w:val="22"/>
          <w:szCs w:val="22"/>
          <w:lang w:val="en-US" w:eastAsia="zh-CN"/>
        </w:rPr>
        <w:t>1</w:t>
      </w:r>
    </w:p>
    <w:p w14:paraId="0A1615B0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2：读取出口传感器值</w:t>
      </w:r>
    </w:p>
    <w:p w14:paraId="61FF7238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V2 = NOxout + k</w:t>
      </w:r>
      <w:r>
        <w:rPr>
          <w:rFonts w:ascii="Cambria Math" w:hAnsi="Cambria Math" w:eastAsia="Cambria Math" w:cs="Cambria Math"/>
          <w:i/>
          <w:iCs/>
          <w:color w:val="1A1A1A"/>
          <w:sz w:val="13"/>
          <w:szCs w:val="13"/>
        </w:rPr>
        <w:t>NH3</w:t>
      </w: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 xml:space="preserve"> × NH₃</w:t>
      </w:r>
    </w:p>
    <w:p w14:paraId="2F03CA1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3：通过 SCR 效率模型预测出口真实 NOx</w:t>
      </w:r>
    </w:p>
    <w:p w14:paraId="0C22D574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NOxout = NOxin × (1 - η_SCR)</w:t>
      </w:r>
    </w:p>
    <w:p w14:paraId="0540F7E3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4：求解氨逃逸</w:t>
      </w:r>
    </w:p>
    <w:p w14:paraId="5CC638E8">
      <w:pPr>
        <w:spacing w:before="160" w:after="160" w:line="360" w:lineRule="auto"/>
        <w:jc w:val="center"/>
        <w:rPr>
          <w:rFonts w:ascii="Cambria Math" w:hAnsi="Cambria Math" w:eastAsia="Cambria Math" w:cs="Cambria Math"/>
          <w:i/>
          <w:iCs/>
          <w:color w:val="1A1A1A"/>
          <w:sz w:val="13"/>
          <w:szCs w:val="13"/>
        </w:rPr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NH₃ ≈ (V2 - NOxout</w:t>
      </w:r>
      <w:r>
        <w:rPr>
          <w:rFonts w:hint="eastAsia" w:ascii="Cambria Math" w:hAnsi="Cambria Math" w:eastAsia="宋体" w:cs="Cambria Math"/>
          <w:i/>
          <w:iCs/>
          <w:color w:val="1A1A1A"/>
          <w:sz w:val="22"/>
          <w:szCs w:val="22"/>
          <w:lang w:val="en-US" w:eastAsia="zh-CN"/>
        </w:rPr>
        <w:t>)</w:t>
      </w: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 xml:space="preserve"> / k</w:t>
      </w:r>
      <w:r>
        <w:rPr>
          <w:rFonts w:ascii="Cambria Math" w:hAnsi="Cambria Math" w:eastAsia="Cambria Math" w:cs="Cambria Math"/>
          <w:i/>
          <w:iCs/>
          <w:color w:val="1A1A1A"/>
          <w:sz w:val="13"/>
          <w:szCs w:val="13"/>
        </w:rPr>
        <w:t>NH3</w:t>
      </w:r>
    </w:p>
    <w:p w14:paraId="65144D22">
      <w:pPr>
        <w:spacing w:after="120" w:line="360" w:lineRule="auto"/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</w:pPr>
      <w:r>
        <w:rPr>
          <w:rFonts w:ascii="Arial" w:hAnsi="Arial" w:eastAsia="Arial" w:cs="Arial"/>
          <w:sz w:val="21"/>
          <w:szCs w:val="21"/>
        </w:rPr>
        <w:t xml:space="preserve">步骤 </w:t>
      </w:r>
      <w:r>
        <w:rPr>
          <w:rFonts w:hint="eastAsia" w:eastAsia="宋体" w:cs="Arial"/>
          <w:sz w:val="21"/>
          <w:szCs w:val="21"/>
          <w:lang w:val="en-US" w:eastAsia="zh-CN"/>
        </w:rPr>
        <w:t>5：</w:t>
      </w:r>
      <w:r>
        <w:rPr>
          <w:rFonts w:hint="eastAsia" w:ascii="Arial" w:hAnsi="Arial" w:eastAsia="Arial" w:cs="Arial"/>
          <w:sz w:val="21"/>
          <w:szCs w:val="21"/>
          <w:lang w:val="en-US" w:eastAsia="zh-CN"/>
        </w:rPr>
        <w:t>标定</w:t>
      </w: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η_SCR</w:t>
      </w:r>
    </w:p>
    <w:p w14:paraId="71A36A04">
      <w:pPr>
        <w:spacing w:after="120" w:line="360" w:lineRule="auto"/>
        <w:rPr>
          <w:rFonts w:hint="eastAsia" w:ascii="Cambria Math" w:hAnsi="Cambria Math" w:eastAsia="宋体" w:cs="Cambria Math"/>
          <w:b w:val="0"/>
          <w:bCs w:val="0"/>
          <w:i w:val="0"/>
          <w:iCs w:val="0"/>
          <w:color w:val="1A1A1A"/>
          <w:sz w:val="22"/>
          <w:szCs w:val="22"/>
          <w:lang w:val="en-US" w:eastAsia="zh-CN"/>
        </w:rPr>
      </w:pPr>
      <w:r>
        <w:rPr>
          <w:rFonts w:hint="eastAsia" w:ascii="Cambria Math" w:hAnsi="Cambria Math" w:eastAsia="宋体" w:cs="Cambria Math"/>
          <w:b w:val="0"/>
          <w:bCs w:val="0"/>
          <w:i w:val="0"/>
          <w:iCs w:val="0"/>
          <w:color w:val="1A1A1A"/>
          <w:sz w:val="22"/>
          <w:szCs w:val="22"/>
          <w:lang w:val="en-US" w:eastAsia="zh-CN"/>
        </w:rPr>
        <w:t>设定任意喷射量（小于额定喷射量）。读取入口氮氧化物值和出口氮氧化物值。在五个不同的温度点。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DE5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29268B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温度</w:t>
            </w:r>
          </w:p>
        </w:tc>
        <w:tc>
          <w:tcPr>
            <w:tcW w:w="2130" w:type="dxa"/>
          </w:tcPr>
          <w:p w14:paraId="79F87226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入口V1</w:t>
            </w:r>
          </w:p>
        </w:tc>
        <w:tc>
          <w:tcPr>
            <w:tcW w:w="2131" w:type="dxa"/>
          </w:tcPr>
          <w:p w14:paraId="4D63A951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出口V2</w:t>
            </w:r>
          </w:p>
        </w:tc>
        <w:tc>
          <w:tcPr>
            <w:tcW w:w="2131" w:type="dxa"/>
          </w:tcPr>
          <w:p w14:paraId="7F91DBF9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Cambria Math" w:hAnsi="Cambria Math" w:eastAsia="Cambria Math" w:cs="Cambria Math"/>
                <w:i/>
                <w:iCs/>
                <w:color w:val="1A1A1A"/>
                <w:sz w:val="22"/>
                <w:szCs w:val="22"/>
              </w:rPr>
              <w:t>η_SCR</w:t>
            </w:r>
          </w:p>
        </w:tc>
      </w:tr>
      <w:tr w14:paraId="6247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C38F19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300</w:t>
            </w:r>
          </w:p>
        </w:tc>
        <w:tc>
          <w:tcPr>
            <w:tcW w:w="2130" w:type="dxa"/>
          </w:tcPr>
          <w:p w14:paraId="1E8ECC1B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55C803E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663C37A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2DBD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9A9D24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350</w:t>
            </w:r>
          </w:p>
        </w:tc>
        <w:tc>
          <w:tcPr>
            <w:tcW w:w="2130" w:type="dxa"/>
          </w:tcPr>
          <w:p w14:paraId="624C18A9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A529011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C88FB2C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1BDA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90CEC9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400</w:t>
            </w:r>
          </w:p>
        </w:tc>
        <w:tc>
          <w:tcPr>
            <w:tcW w:w="2130" w:type="dxa"/>
          </w:tcPr>
          <w:p w14:paraId="3D6F54F2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0085F78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62F9193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16B4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942B7F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450</w:t>
            </w:r>
          </w:p>
        </w:tc>
        <w:tc>
          <w:tcPr>
            <w:tcW w:w="2130" w:type="dxa"/>
          </w:tcPr>
          <w:p w14:paraId="6AB947A3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EB908D3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4FAEEFA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03EF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5712E5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  <w:t>500</w:t>
            </w:r>
          </w:p>
        </w:tc>
        <w:tc>
          <w:tcPr>
            <w:tcW w:w="2130" w:type="dxa"/>
          </w:tcPr>
          <w:p w14:paraId="532CCDF7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788B91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028930">
            <w:pPr>
              <w:spacing w:after="120" w:line="360" w:lineRule="auto"/>
              <w:rPr>
                <w:rFonts w:hint="default" w:ascii="Cambria Math" w:hAnsi="Cambria Math" w:eastAsia="宋体" w:cs="Cambria Math"/>
                <w:b w:val="0"/>
                <w:bCs w:val="0"/>
                <w:i w:val="0"/>
                <w:iCs w:val="0"/>
                <w:color w:val="1A1A1A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18BBF40D">
      <w:pPr>
        <w:spacing w:after="120" w:line="360" w:lineRule="auto"/>
        <w:jc w:val="both"/>
        <w:rPr>
          <w:rFonts w:hint="eastAsia" w:eastAsia="宋体"/>
          <w:i w:val="0"/>
          <w:lang w:val="en-US" w:eastAsia="zh-CN"/>
        </w:rPr>
      </w:pPr>
      <w:r>
        <w:rPr>
          <w:rFonts w:hint="eastAsia" w:eastAsia="宋体"/>
          <w:i w:val="0"/>
          <w:lang w:val="en-US" w:eastAsia="zh-CN"/>
        </w:rPr>
        <w:t>计算公式</w:t>
      </w:r>
      <m:oMath>
        <m:r>
          <m:rPr/>
          <w:rPr>
            <w:rFonts w:ascii="Cambria Math" w:hAnsi="Cambria Math" w:eastAsia="Cambria Math" w:cs="Cambria Math"/>
            <w:color w:val="1A1A1A"/>
            <w:sz w:val="22"/>
            <w:szCs w:val="22"/>
          </w:rPr>
          <m:t>η_SCR</m:t>
        </m:r>
        <m:r>
          <m:rPr/>
          <w:rPr>
            <w:rFonts w:hint="default" w:ascii="Cambria Math"/>
          </w:rPr>
          <m:t>=(</m:t>
        </m:r>
        <m:r>
          <m:rPr/>
          <w:rPr>
            <w:rFonts w:hint="default" w:ascii="Cambria Math" w:eastAsia="宋体"/>
            <w:lang w:val="en-US" w:eastAsia="zh-CN"/>
          </w:rPr>
          <m:t>V1</m:t>
        </m:r>
        <m:r>
          <m:rPr/>
          <w:rPr>
            <w:rFonts w:hint="default" w:ascii="Cambria Math"/>
          </w:rPr>
          <m:t>−</m:t>
        </m:r>
        <m:r>
          <m:rPr/>
          <w:rPr>
            <w:rFonts w:hint="default" w:ascii="Cambria Math" w:eastAsia="宋体"/>
            <w:lang w:val="en-US" w:eastAsia="zh-CN"/>
          </w:rPr>
          <m:t>V2</m:t>
        </m:r>
        <m:r>
          <m:rPr/>
          <w:rPr>
            <w:rFonts w:hint="default" w:ascii="Cambria Math"/>
          </w:rPr>
          <m:t>)/</m:t>
        </m:r>
      </m:oMath>
      <w:r>
        <w:rPr>
          <w:rFonts w:hint="eastAsia" w:eastAsia="宋体"/>
          <w:i w:val="0"/>
          <w:lang w:val="en-US" w:eastAsia="zh-CN"/>
        </w:rPr>
        <w:t>V1</w:t>
      </w:r>
    </w:p>
    <w:p w14:paraId="6CE1C8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E795D"/>
    <w:rsid w:val="0A7E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qFormat/>
    <w:uiPriority w:val="0"/>
    <w:rPr>
      <w:rFonts w:ascii="Arial" w:hAnsi="Arial" w:eastAsia="Arial" w:cs="Arial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2026-05-14T03:07:00Z</dcterms:created>
  <dc:creator>毕亚杰</dc:creator>
  <cp:lastModifiedBy>毕亚杰</cp:lastModifiedBy>
  <dcterms:modified xsi:type="dcterms:W3CDTF">2026-05-14T03:07:45Z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F037F725F1F64F94A4881648663D3117_11</vt:lpwstr>
  </property>
  <property fmtid="{D5CDD505-2E9C-101B-9397-08002B2CF9AE}" pid="4" name="KSOTemplateDocerSaveRecord">
    <vt:lpwstr>eyJoZGlkIjoiZmM4MjA3YmNjYjFkYzgzNDM3MTQ5NmIzOTc4ZmI1YjUiLCJ1c2VySWQiOiI3ODU2NTcxMTEifQ==</vt:lpwstr>
  </property>
</Properties>
</file>