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B224FD">
      <w:r>
        <w:rPr>
          <w:rFonts w:hint="eastAsia"/>
          <w:lang w:val="en-US" w:eastAsia="zh-CN"/>
        </w:rPr>
        <w:t>新系统中</w:t>
      </w:r>
      <w:r>
        <w:t>减少过喷和氨逃逸风险的措施</w:t>
      </w:r>
    </w:p>
    <w:p w14:paraId="77CACD05">
      <w:r>
        <w:t>1. “排放因子 × 实时功率”的前馈主控</w:t>
      </w:r>
    </w:p>
    <w:p w14:paraId="179FA36D">
      <w:r>
        <w:t>这是系统的基础</w:t>
      </w:r>
    </w:p>
    <w:p w14:paraId="26381C3B">
      <w:r>
        <w:t>Power_kW = Torque_Nm × RPM / 9550</w:t>
      </w:r>
    </w:p>
    <w:p w14:paraId="4C76F09A">
      <w:r>
        <w:t>NOx_FF = EmissionFactor_Map(Power_kW)</w:t>
      </w:r>
    </w:p>
    <w:p w14:paraId="38E06137">
      <w:r>
        <w:t>Base_Dosing = NOx_FF × Urea_Coefficient</w:t>
      </w:r>
    </w:p>
    <w:p w14:paraId="29C7C041">
      <w:r>
        <w:t>前馈负责快速、稳定地给出基础喷射量，避免完全依赖下游 NOx 传感器闭环。</w:t>
      </w:r>
    </w:p>
    <w:p w14:paraId="40BAF4E5"/>
    <w:p w14:paraId="38FAFF9E">
      <w:r>
        <w:t>2. 上游 NOx 修正前馈</w:t>
      </w:r>
    </w:p>
    <w:p w14:paraId="44FCE648">
      <w:r>
        <w:t>排放因子曲线在标定环境下准确，但遇到高海拔、进气温度变化、发动机老化、燃油差异时会偏。做法是：</w:t>
      </w:r>
    </w:p>
    <w:p w14:paraId="3B02A467">
      <w:r>
        <w:t>NOx_FF_Final =a × NOx_By_Power+ b × NOx_Up_Filtered</w:t>
      </w:r>
    </w:p>
    <w:tbl>
      <w:tblPr>
        <w:tblStyle w:val="6"/>
        <w:tblpPr w:leftFromText="180" w:rightFromText="180" w:vertAnchor="text" w:horzAnchor="page" w:tblpX="1791" w:tblpY="298"/>
        <w:tblOverlap w:val="never"/>
        <w:tblW w:w="4998" w:type="pct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81"/>
        <w:gridCol w:w="2307"/>
        <w:gridCol w:w="2605"/>
      </w:tblGrid>
      <w:tr w14:paraId="4F7EBB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046" w:type="pct"/>
            <w:shd w:val="clear" w:color="auto" w:fill="auto"/>
            <w:vAlign w:val="center"/>
          </w:tcPr>
          <w:p w14:paraId="6B5A6297">
            <w:r>
              <w:rPr>
                <w:lang w:val="en-US" w:eastAsia="zh-CN"/>
              </w:rPr>
              <w:t>工况</w:t>
            </w:r>
          </w:p>
        </w:tc>
        <w:tc>
          <w:tcPr>
            <w:tcW w:w="1356" w:type="pct"/>
            <w:shd w:val="clear" w:color="auto" w:fill="auto"/>
            <w:vAlign w:val="center"/>
          </w:tcPr>
          <w:p w14:paraId="5F98493F">
            <w:r>
              <w:rPr>
                <w:lang w:val="en-US" w:eastAsia="zh-CN"/>
              </w:rPr>
              <w:t>排放因子权重</w:t>
            </w:r>
          </w:p>
        </w:tc>
        <w:tc>
          <w:tcPr>
            <w:tcW w:w="1524" w:type="pct"/>
            <w:shd w:val="clear" w:color="auto" w:fill="auto"/>
            <w:vAlign w:val="center"/>
          </w:tcPr>
          <w:p w14:paraId="6E421697">
            <w:r>
              <w:rPr>
                <w:lang w:val="en-US" w:eastAsia="zh-CN"/>
              </w:rPr>
              <w:t>上游 NOx 权重</w:t>
            </w:r>
          </w:p>
        </w:tc>
      </w:tr>
      <w:tr w14:paraId="51D092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46" w:type="pct"/>
            <w:shd w:val="clear" w:color="auto" w:fill="auto"/>
            <w:vAlign w:val="center"/>
          </w:tcPr>
          <w:p w14:paraId="40F32A10">
            <w:r>
              <w:rPr>
                <w:lang w:val="en-US" w:eastAsia="zh-CN"/>
              </w:rPr>
              <w:t>瞬态</w:t>
            </w:r>
          </w:p>
        </w:tc>
        <w:tc>
          <w:tcPr>
            <w:tcW w:w="1356" w:type="pct"/>
            <w:shd w:val="clear" w:color="auto" w:fill="auto"/>
            <w:vAlign w:val="center"/>
          </w:tcPr>
          <w:p w14:paraId="7C2B3F66">
            <w:r>
              <w:rPr>
                <w:lang w:val="en-US" w:eastAsia="zh-CN"/>
              </w:rPr>
              <w:t>70%~90%</w:t>
            </w:r>
          </w:p>
        </w:tc>
        <w:tc>
          <w:tcPr>
            <w:tcW w:w="1524" w:type="pct"/>
            <w:shd w:val="clear" w:color="auto" w:fill="auto"/>
            <w:vAlign w:val="center"/>
          </w:tcPr>
          <w:p w14:paraId="0569679D">
            <w:r>
              <w:rPr>
                <w:lang w:val="en-US" w:eastAsia="zh-CN"/>
              </w:rPr>
              <w:t>10%~30%</w:t>
            </w:r>
          </w:p>
        </w:tc>
      </w:tr>
      <w:tr w14:paraId="35534E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46" w:type="pct"/>
            <w:shd w:val="clear" w:color="auto" w:fill="auto"/>
            <w:vAlign w:val="center"/>
          </w:tcPr>
          <w:p w14:paraId="36CAAC54">
            <w:r>
              <w:rPr>
                <w:lang w:val="en-US" w:eastAsia="zh-CN"/>
              </w:rPr>
              <w:t>稳态</w:t>
            </w:r>
          </w:p>
        </w:tc>
        <w:tc>
          <w:tcPr>
            <w:tcW w:w="1356" w:type="pct"/>
            <w:shd w:val="clear" w:color="auto" w:fill="auto"/>
            <w:vAlign w:val="center"/>
          </w:tcPr>
          <w:p w14:paraId="12B6BE8F">
            <w:r>
              <w:rPr>
                <w:lang w:val="en-US" w:eastAsia="zh-CN"/>
              </w:rPr>
              <w:t>30%~50%</w:t>
            </w:r>
          </w:p>
        </w:tc>
        <w:tc>
          <w:tcPr>
            <w:tcW w:w="1524" w:type="pct"/>
            <w:shd w:val="clear" w:color="auto" w:fill="auto"/>
            <w:vAlign w:val="center"/>
          </w:tcPr>
          <w:p w14:paraId="13F574A7">
            <w:r>
              <w:rPr>
                <w:lang w:val="en-US" w:eastAsia="zh-CN"/>
              </w:rPr>
              <w:t>50%~70%</w:t>
            </w:r>
          </w:p>
        </w:tc>
      </w:tr>
      <w:tr w14:paraId="2FD5A0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46" w:type="pct"/>
            <w:shd w:val="clear" w:color="auto" w:fill="auto"/>
            <w:vAlign w:val="center"/>
          </w:tcPr>
          <w:p w14:paraId="25CACB59">
            <w:r>
              <w:rPr>
                <w:lang w:val="en-US" w:eastAsia="zh-CN"/>
              </w:rPr>
              <w:t>上游 NOx 故障/预热</w:t>
            </w:r>
          </w:p>
        </w:tc>
        <w:tc>
          <w:tcPr>
            <w:tcW w:w="1356" w:type="pct"/>
            <w:shd w:val="clear" w:color="auto" w:fill="auto"/>
            <w:vAlign w:val="center"/>
          </w:tcPr>
          <w:p w14:paraId="7F091795">
            <w:r>
              <w:rPr>
                <w:lang w:val="en-US" w:eastAsia="zh-CN"/>
              </w:rPr>
              <w:t>100%</w:t>
            </w:r>
          </w:p>
        </w:tc>
        <w:tc>
          <w:tcPr>
            <w:tcW w:w="1524" w:type="pct"/>
            <w:shd w:val="clear" w:color="auto" w:fill="auto"/>
            <w:vAlign w:val="center"/>
          </w:tcPr>
          <w:p w14:paraId="16CE8FDA">
            <w:r>
              <w:rPr>
                <w:lang w:val="en-US" w:eastAsia="zh-CN"/>
              </w:rPr>
              <w:t>0%</w:t>
            </w:r>
          </w:p>
        </w:tc>
      </w:tr>
    </w:tbl>
    <w:p w14:paraId="67A74AD0"/>
    <w:p w14:paraId="42C43C7C">
      <w:r>
        <w:t>这样可以兼顾响应速度和环境适应性。</w:t>
      </w:r>
    </w:p>
    <w:p w14:paraId="6110582F"/>
    <w:p w14:paraId="10F6AF97">
      <w:r>
        <w:t>3. 建立温度效率模型</w:t>
      </w:r>
    </w:p>
    <w:p w14:paraId="7778EB4B">
      <w:r>
        <w:t>Eta_Model = f(T_SCR_Avg)</w:t>
      </w:r>
    </w:p>
    <w:p w14:paraId="19A90CFC">
      <w:r>
        <w:t>T_SCR_Avg = (T_SCR_In + T_SCR_Out) / 2</w:t>
      </w:r>
    </w:p>
    <w:p w14:paraId="00E7CBB9">
      <w:r>
        <w:t>五个温度点可用：</w:t>
      </w:r>
    </w:p>
    <w:tbl>
      <w:tblPr>
        <w:tblStyle w:val="6"/>
        <w:tblW w:w="4999" w:type="pct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29"/>
        <w:gridCol w:w="5765"/>
      </w:tblGrid>
      <w:tr w14:paraId="607A8A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539" w:type="pct"/>
            <w:shd w:val="clear" w:color="auto" w:fill="auto"/>
            <w:vAlign w:val="center"/>
          </w:tcPr>
          <w:p w14:paraId="1B61163D">
            <w:r>
              <w:rPr>
                <w:lang w:val="en-US" w:eastAsia="zh-CN"/>
              </w:rPr>
              <w:t>温度点</w:t>
            </w:r>
          </w:p>
        </w:tc>
        <w:tc>
          <w:tcPr>
            <w:tcW w:w="3406" w:type="pct"/>
            <w:shd w:val="clear" w:color="auto" w:fill="auto"/>
            <w:vAlign w:val="center"/>
          </w:tcPr>
          <w:p w14:paraId="70725CCF">
            <w:r>
              <w:rPr>
                <w:lang w:val="en-US" w:eastAsia="zh-CN"/>
              </w:rPr>
              <w:t>意义</w:t>
            </w:r>
          </w:p>
        </w:tc>
      </w:tr>
      <w:tr w14:paraId="2AD740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39" w:type="pct"/>
            <w:shd w:val="clear" w:color="auto" w:fill="auto"/>
            <w:vAlign w:val="center"/>
          </w:tcPr>
          <w:p w14:paraId="12BBDDEF">
            <w:r>
              <w:rPr>
                <w:lang w:val="en-US" w:eastAsia="zh-CN"/>
              </w:rPr>
              <w:t>200℃</w:t>
            </w:r>
          </w:p>
        </w:tc>
        <w:tc>
          <w:tcPr>
            <w:tcW w:w="3406" w:type="pct"/>
            <w:shd w:val="clear" w:color="auto" w:fill="auto"/>
            <w:vAlign w:val="center"/>
          </w:tcPr>
          <w:p w14:paraId="3BF9A229">
            <w:r>
              <w:rPr>
                <w:lang w:val="en-US" w:eastAsia="zh-CN"/>
              </w:rPr>
              <w:t>刚进入反应区</w:t>
            </w:r>
          </w:p>
        </w:tc>
      </w:tr>
      <w:tr w14:paraId="5B2D38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39" w:type="pct"/>
            <w:shd w:val="clear" w:color="auto" w:fill="auto"/>
            <w:vAlign w:val="center"/>
          </w:tcPr>
          <w:p w14:paraId="1B2AD8FB">
            <w:r>
              <w:rPr>
                <w:lang w:val="en-US" w:eastAsia="zh-CN"/>
              </w:rPr>
              <w:t>250℃</w:t>
            </w:r>
          </w:p>
        </w:tc>
        <w:tc>
          <w:tcPr>
            <w:tcW w:w="3406" w:type="pct"/>
            <w:shd w:val="clear" w:color="auto" w:fill="auto"/>
            <w:vAlign w:val="center"/>
          </w:tcPr>
          <w:p w14:paraId="7E770A74">
            <w:r>
              <w:rPr>
                <w:lang w:val="en-US" w:eastAsia="zh-CN"/>
              </w:rPr>
              <w:t>有效反应区</w:t>
            </w:r>
          </w:p>
        </w:tc>
      </w:tr>
      <w:tr w14:paraId="3B1B1A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39" w:type="pct"/>
            <w:shd w:val="clear" w:color="auto" w:fill="auto"/>
            <w:vAlign w:val="center"/>
          </w:tcPr>
          <w:p w14:paraId="74B02C76">
            <w:r>
              <w:rPr>
                <w:lang w:val="en-US" w:eastAsia="zh-CN"/>
              </w:rPr>
              <w:t>300℃</w:t>
            </w:r>
          </w:p>
        </w:tc>
        <w:tc>
          <w:tcPr>
            <w:tcW w:w="3406" w:type="pct"/>
            <w:shd w:val="clear" w:color="auto" w:fill="auto"/>
            <w:vAlign w:val="center"/>
          </w:tcPr>
          <w:p w14:paraId="5F1F285B">
            <w:r>
              <w:rPr>
                <w:lang w:val="en-US" w:eastAsia="zh-CN"/>
              </w:rPr>
              <w:t>高效区</w:t>
            </w:r>
          </w:p>
        </w:tc>
      </w:tr>
      <w:tr w14:paraId="7D7486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39" w:type="pct"/>
            <w:shd w:val="clear" w:color="auto" w:fill="auto"/>
            <w:vAlign w:val="center"/>
          </w:tcPr>
          <w:p w14:paraId="66215464">
            <w:r>
              <w:rPr>
                <w:lang w:val="en-US" w:eastAsia="zh-CN"/>
              </w:rPr>
              <w:t>350℃</w:t>
            </w:r>
          </w:p>
        </w:tc>
        <w:tc>
          <w:tcPr>
            <w:tcW w:w="3406" w:type="pct"/>
            <w:shd w:val="clear" w:color="auto" w:fill="auto"/>
            <w:vAlign w:val="center"/>
          </w:tcPr>
          <w:p w14:paraId="4DDDCC62">
            <w:r>
              <w:rPr>
                <w:lang w:val="en-US" w:eastAsia="zh-CN"/>
              </w:rPr>
              <w:t>高效稳定区</w:t>
            </w:r>
          </w:p>
        </w:tc>
      </w:tr>
      <w:tr w14:paraId="3630D1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39" w:type="pct"/>
            <w:shd w:val="clear" w:color="auto" w:fill="auto"/>
            <w:vAlign w:val="center"/>
          </w:tcPr>
          <w:p w14:paraId="208CD734">
            <w:r>
              <w:rPr>
                <w:lang w:val="en-US" w:eastAsia="zh-CN"/>
              </w:rPr>
              <w:t>400℃</w:t>
            </w:r>
          </w:p>
        </w:tc>
        <w:tc>
          <w:tcPr>
            <w:tcW w:w="3406" w:type="pct"/>
            <w:shd w:val="clear" w:color="auto" w:fill="auto"/>
            <w:vAlign w:val="center"/>
          </w:tcPr>
          <w:p w14:paraId="5542DFDC">
            <w:r>
              <w:rPr>
                <w:lang w:val="en-US" w:eastAsia="zh-CN"/>
              </w:rPr>
              <w:t>高温释放风险区</w:t>
            </w:r>
          </w:p>
        </w:tc>
      </w:tr>
    </w:tbl>
    <w:p w14:paraId="14EEE52D">
      <w:r>
        <w:t>后期升级为：</w:t>
      </w:r>
    </w:p>
    <w:p w14:paraId="7567F2EB">
      <w:r>
        <w:t>Eta_Model = f(T_SCR_Avg, Load 或 Exhaust_Flow)</w:t>
      </w:r>
    </w:p>
    <w:p w14:paraId="1F52DFA4"/>
    <w:p w14:paraId="1CA7CEEB">
      <w:r>
        <w:t>4. 用大陆 NOx 传感器交叉敏感估算 NH₃</w:t>
      </w:r>
    </w:p>
    <w:p w14:paraId="2F5C5097">
      <w:r>
        <w:t>你已知大陆 NOx 传感器对 NH₃ 的交叉敏感系数约 0.9~1.0，这可以直接用于工程判断。</w:t>
      </w:r>
    </w:p>
    <w:p w14:paraId="7355143A">
      <w:r>
        <w:t>核心计算：</w:t>
      </w:r>
    </w:p>
    <w:p w14:paraId="44F5F64A">
      <w:r>
        <w:t>NOx_Down_Model = NOx_Up_Delay × (1 - Eta_Model)</w:t>
      </w:r>
    </w:p>
    <w:p w14:paraId="4E92AAA4"/>
    <w:p w14:paraId="33AD9EAF">
      <w:r>
        <w:t>Residual = NOx_Down_Sensor - NOx_Down_Model</w:t>
      </w:r>
    </w:p>
    <w:p w14:paraId="2ACF3697"/>
    <w:p w14:paraId="58686659">
      <w:r>
        <w:t>NH3_Slip_Est =MAX(0, Residual - Deadband) / K_NH3</w:t>
      </w:r>
    </w:p>
    <w:p w14:paraId="61BEEF51">
      <w:r>
        <w:t>建议初值：</w:t>
      </w:r>
    </w:p>
    <w:p w14:paraId="2044637E">
      <w:r>
        <w:t>K_NH3 = 0.95</w:t>
      </w:r>
    </w:p>
    <w:p w14:paraId="4D6480C6">
      <w:r>
        <w:t>Deadband = 10~20 ppm</w:t>
      </w:r>
    </w:p>
    <w:p w14:paraId="0C3A5B98">
      <w:r>
        <w:t>NH3_Target = 5~10 ppm</w:t>
      </w:r>
    </w:p>
    <w:p w14:paraId="273EE676">
      <w:r>
        <w:t>这个 NH3_Slip_Est 不一定是实验室级 NH₃ ppm，但对现场控制已经很有价值。</w:t>
      </w:r>
    </w:p>
    <w:p w14:paraId="0E79864D"/>
    <w:p w14:paraId="333C8251">
      <w:r>
        <w:t>5. 氨逃逸保护只允许“减喷”，不允许加喷</w:t>
      </w:r>
    </w:p>
    <w:p w14:paraId="4D5C6070">
      <w:r>
        <w:t>这是最关键的控制原则。</w:t>
      </w:r>
    </w:p>
    <w:p w14:paraId="79EE6ECC">
      <w:r>
        <w:t>当 NH₃ 估算值超限时：NH3_Limit_Factor 快速降低</w:t>
      </w:r>
    </w:p>
    <w:p w14:paraId="35EC778E">
      <w:r>
        <w:t>禁止 NOx 闭环继续加喷</w:t>
      </w:r>
    </w:p>
    <w:p w14:paraId="6812F75C">
      <w:r>
        <w:t>恢复时：NH3_Limit_Factor 慢慢恢复</w:t>
      </w:r>
    </w:p>
    <w:p w14:paraId="3992372E">
      <w:r>
        <w:t>逻辑：</w:t>
      </w:r>
    </w:p>
    <w:p w14:paraId="40743ABA">
      <w:r>
        <w:t>IF NH3_Slip_Est &gt; NH3_Target THEN</w:t>
      </w:r>
    </w:p>
    <w:p w14:paraId="02CEF052">
      <w:r>
        <w:t xml:space="preserve">    NH3_Limit_Factor := NH3_Limit_Factor - 0.02 每秒</w:t>
      </w:r>
    </w:p>
    <w:p w14:paraId="2AFD2878">
      <w:r>
        <w:t>ELSE</w:t>
      </w:r>
    </w:p>
    <w:p w14:paraId="3C7BDA62">
      <w:r>
        <w:t xml:space="preserve">    NH3_Limit_Factor := NH3_Limit_Factor + 0.005 每秒</w:t>
      </w:r>
    </w:p>
    <w:p w14:paraId="2420F021">
      <w:r>
        <w:t>END_IF;</w:t>
      </w:r>
    </w:p>
    <w:p w14:paraId="40049321">
      <w:r>
        <w:t>NH3_Limit_Factor = LIMIT(0.3, NH3_Limit_Factor, 1.0)</w:t>
      </w:r>
    </w:p>
    <w:p w14:paraId="0AED5C4F">
      <w:r>
        <w:t>最终喷射：</w:t>
      </w:r>
    </w:p>
    <w:p w14:paraId="3F98E898">
      <w:r>
        <w:t>Final_Dosing =</w:t>
      </w:r>
    </w:p>
    <w:p w14:paraId="6F32F608">
      <w:r>
        <w:t xml:space="preserve">    Base_Dosing</w:t>
      </w:r>
    </w:p>
    <w:p w14:paraId="26CFF7D2">
      <w:r>
        <w:t xml:space="preserve">  × Temp_Factor</w:t>
      </w:r>
    </w:p>
    <w:p w14:paraId="23D4B0E8">
      <w:r>
        <w:t xml:space="preserve">  × NOx_CL_Factor</w:t>
      </w:r>
    </w:p>
    <w:p w14:paraId="69BEFEC5">
      <w:r>
        <w:t xml:space="preserve">  × NH3_Limit_Factor</w:t>
      </w:r>
    </w:p>
    <w:p w14:paraId="20D20C9C"/>
    <w:p w14:paraId="4D584039">
      <w:r>
        <w:t>6. 负荷突降快速限喷</w:t>
      </w:r>
    </w:p>
    <w:p w14:paraId="65E4BAB2">
      <w:r>
        <w:t>这是现场最有效的防过喷措施之一。因为 NOx 传感器有延迟，不能等下游反馈再减喷。</w:t>
      </w:r>
    </w:p>
    <w:p w14:paraId="29AA7101">
      <w:r>
        <w:rPr>
          <w:rFonts w:hint="eastAsia"/>
          <w:lang w:val="en-US" w:eastAsia="zh-CN"/>
        </w:rPr>
        <w:t>主要通过</w:t>
      </w:r>
      <w:r>
        <w:t xml:space="preserve">ECU </w:t>
      </w:r>
      <w:r>
        <w:rPr>
          <w:rFonts w:hint="eastAsia"/>
          <w:lang w:val="en-US" w:eastAsia="zh-CN"/>
        </w:rPr>
        <w:t>转速</w:t>
      </w:r>
      <w:r>
        <w:t>信号判断：</w:t>
      </w:r>
    </w:p>
    <w:p w14:paraId="1510426E">
      <w:r>
        <w:t>建议逻辑：</w:t>
      </w:r>
    </w:p>
    <w:p w14:paraId="46F23396">
      <w:r>
        <w:t>IF dPower_dt &lt; -设定值</w:t>
      </w:r>
    </w:p>
    <w:p w14:paraId="1454BB4B">
      <w:r>
        <w:t>OR dFuel_dt &lt; -设定值</w:t>
      </w:r>
    </w:p>
    <w:p w14:paraId="46646769">
      <w:r>
        <w:t>THEN</w:t>
      </w:r>
    </w:p>
    <w:p w14:paraId="66716F0C">
      <w:r>
        <w:t xml:space="preserve">    Load_Drop_Protect := TRUE</w:t>
      </w:r>
    </w:p>
    <w:p w14:paraId="454CC098">
      <w:r>
        <w:t xml:space="preserve">    喷射上限立即降到 30%~60%</w:t>
      </w:r>
    </w:p>
    <w:p w14:paraId="3556F485">
      <w:r>
        <w:t xml:space="preserve">    持续 3~8 秒</w:t>
      </w:r>
    </w:p>
    <w:p w14:paraId="2CEDD5CA">
      <w:r>
        <w:t xml:space="preserve">    禁止 NOx 闭环加喷</w:t>
      </w:r>
    </w:p>
    <w:p w14:paraId="53F5269D">
      <w:r>
        <w:t>END_IF;</w:t>
      </w:r>
    </w:p>
    <w:p w14:paraId="5DF58B48">
      <w:r>
        <w:t>这个功能现场收益很大，程序也简单。</w:t>
      </w:r>
    </w:p>
    <w:p w14:paraId="6D36968D"/>
    <w:p w14:paraId="09210301">
      <w:r>
        <w:t>7. 环境自适应系数，但只在稳态学习</w:t>
      </w:r>
    </w:p>
    <w:p w14:paraId="11C978C9">
      <w:r>
        <w:t>不要在线修改原始排放因子表，而是在外面加一个慢速修正系数。</w:t>
      </w:r>
    </w:p>
    <w:p w14:paraId="19938069">
      <w:r>
        <w:t>Base_Dosing =</w:t>
      </w:r>
    </w:p>
    <w:p w14:paraId="6DB9CBB9">
      <w:r>
        <w:t xml:space="preserve">    Dosing_Map(Power)</w:t>
      </w:r>
    </w:p>
    <w:p w14:paraId="2CF2B5D8">
      <w:r>
        <w:t xml:space="preserve">  × Env_Adapt_Factor</w:t>
      </w:r>
    </w:p>
    <w:p w14:paraId="527A73C9">
      <w:r>
        <w:t>建议范围：</w:t>
      </w:r>
    </w:p>
    <w:p w14:paraId="7800EDDC">
      <w:r>
        <w:t>Env_Adapt_Factor = 0.7~1.1</w:t>
      </w:r>
    </w:p>
    <w:p w14:paraId="07218C4C">
      <w:r>
        <w:t>只有稳态才允许学习：</w:t>
      </w:r>
    </w:p>
    <w:p w14:paraId="05FEEA2F">
      <w:r>
        <w:t>Steady_State = TRUE</w:t>
      </w:r>
    </w:p>
    <w:p w14:paraId="40A13AFD">
      <w:r>
        <w:t>AND DPF_Regeneration = FALSE</w:t>
      </w:r>
    </w:p>
    <w:p w14:paraId="5CDAB08A">
      <w:r>
        <w:t>AND NOx传感器有效</w:t>
      </w:r>
    </w:p>
    <w:p w14:paraId="407483AD">
      <w:r>
        <w:t>AND 温度稳定</w:t>
      </w:r>
    </w:p>
    <w:p w14:paraId="7A8B5CCA">
      <w:r>
        <w:t>前馈偏高时：</w:t>
      </w:r>
    </w:p>
    <w:p w14:paraId="30DB2B84">
      <w:r>
        <w:t>NOx_By_Power &gt; NOx_Up_Meas + Deadband</w:t>
      </w:r>
    </w:p>
    <w:p w14:paraId="73F5CA73">
      <w:r>
        <w:t>AND NH3_Slip_Est &gt; NH3_Target</w:t>
      </w:r>
    </w:p>
    <w:p w14:paraId="17D88C1B">
      <w:r>
        <w:t>→ Env_Adapt_Factor 慢慢降低</w:t>
      </w:r>
    </w:p>
    <w:p w14:paraId="5ED1FBD8">
      <w:r>
        <w:t>前馈偏低时：</w:t>
      </w:r>
    </w:p>
    <w:p w14:paraId="5DB47DF8">
      <w:r>
        <w:t>NOx_Up_Meas &gt; NOx_By_Power + Deadband</w:t>
      </w:r>
    </w:p>
    <w:p w14:paraId="3FC7EE54">
      <w:r>
        <w:t>AND NH3_Slip_Est ≈ 0</w:t>
      </w:r>
    </w:p>
    <w:p w14:paraId="49137AE3">
      <w:r>
        <w:t>AND NOx_Down_Meas &gt; NOx_Target</w:t>
      </w:r>
    </w:p>
    <w:p w14:paraId="019D590E">
      <w:r>
        <w:t>→ Env_Adapt_Factor 慢慢升高</w:t>
      </w:r>
    </w:p>
    <w:p w14:paraId="40122407">
      <w:r>
        <w:t>这项主要解决高海拔、进气温度变化、发动机状态变化导致的标定偏差。</w:t>
      </w:r>
    </w:p>
    <w:p w14:paraId="7F6948DB"/>
    <w:p w14:paraId="676F1975">
      <w:r>
        <w:t>8. 做好延迟补偿和数据记录</w:t>
      </w:r>
    </w:p>
    <w:p w14:paraId="605FA583">
      <w:r>
        <w:t>双 NOx 控制必须做延迟补偿，否则计算转化率和 NH₃ 都会乱。</w:t>
      </w:r>
    </w:p>
    <w:p w14:paraId="3E5478D8">
      <w:r>
        <w:t>简单做法：</w:t>
      </w:r>
    </w:p>
    <w:p w14:paraId="6C0E51E5">
      <w:r>
        <w:t>Delay_Time = Table(Power 或 MAF)</w:t>
      </w:r>
    </w:p>
    <w:p w14:paraId="04622518">
      <w:r>
        <w:t>NOx_Up_Delay = 上游NOx延迟队列输出</w:t>
      </w:r>
    </w:p>
    <w:p w14:paraId="08913915">
      <w:r>
        <w:t>建议初值：</w:t>
      </w:r>
    </w:p>
    <w:tbl>
      <w:tblPr>
        <w:tblStyle w:val="6"/>
        <w:tblW w:w="4999" w:type="pct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36"/>
        <w:gridCol w:w="3958"/>
      </w:tblGrid>
      <w:tr w14:paraId="30E31D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615" w:type="pct"/>
            <w:shd w:val="clear" w:color="auto" w:fill="auto"/>
            <w:vAlign w:val="center"/>
          </w:tcPr>
          <w:p w14:paraId="74330D3B">
            <w:r>
              <w:rPr>
                <w:lang w:val="en-US" w:eastAsia="zh-CN"/>
              </w:rPr>
              <w:t>工况</w:t>
            </w:r>
          </w:p>
        </w:tc>
        <w:tc>
          <w:tcPr>
            <w:tcW w:w="2330" w:type="pct"/>
            <w:shd w:val="clear" w:color="auto" w:fill="auto"/>
            <w:vAlign w:val="center"/>
          </w:tcPr>
          <w:p w14:paraId="517884D1">
            <w:r>
              <w:rPr>
                <w:lang w:val="en-US" w:eastAsia="zh-CN"/>
              </w:rPr>
              <w:t>延迟</w:t>
            </w:r>
          </w:p>
        </w:tc>
      </w:tr>
      <w:tr w14:paraId="3D2380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615" w:type="pct"/>
            <w:shd w:val="clear" w:color="auto" w:fill="auto"/>
            <w:vAlign w:val="center"/>
          </w:tcPr>
          <w:p w14:paraId="5C486D83">
            <w:r>
              <w:rPr>
                <w:lang w:val="en-US" w:eastAsia="zh-CN"/>
              </w:rPr>
              <w:t>低功率</w:t>
            </w:r>
          </w:p>
        </w:tc>
        <w:tc>
          <w:tcPr>
            <w:tcW w:w="2330" w:type="pct"/>
            <w:shd w:val="clear" w:color="auto" w:fill="auto"/>
            <w:vAlign w:val="center"/>
          </w:tcPr>
          <w:p w14:paraId="0CE16A29">
            <w:r>
              <w:rPr>
                <w:lang w:val="en-US" w:eastAsia="zh-CN"/>
              </w:rPr>
              <w:t>8~15 s</w:t>
            </w:r>
          </w:p>
        </w:tc>
      </w:tr>
      <w:tr w14:paraId="6BD515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615" w:type="pct"/>
            <w:shd w:val="clear" w:color="auto" w:fill="auto"/>
            <w:vAlign w:val="center"/>
          </w:tcPr>
          <w:p w14:paraId="11A5BD67">
            <w:r>
              <w:rPr>
                <w:lang w:val="en-US" w:eastAsia="zh-CN"/>
              </w:rPr>
              <w:t>中功率</w:t>
            </w:r>
          </w:p>
        </w:tc>
        <w:tc>
          <w:tcPr>
            <w:tcW w:w="2330" w:type="pct"/>
            <w:shd w:val="clear" w:color="auto" w:fill="auto"/>
            <w:vAlign w:val="center"/>
          </w:tcPr>
          <w:p w14:paraId="193B0598">
            <w:r>
              <w:rPr>
                <w:lang w:val="en-US" w:eastAsia="zh-CN"/>
              </w:rPr>
              <w:t>5~8 s</w:t>
            </w:r>
          </w:p>
        </w:tc>
      </w:tr>
      <w:tr w14:paraId="513AB8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615" w:type="pct"/>
            <w:shd w:val="clear" w:color="auto" w:fill="auto"/>
            <w:vAlign w:val="center"/>
          </w:tcPr>
          <w:p w14:paraId="5FAB728F">
            <w:r>
              <w:rPr>
                <w:lang w:val="en-US" w:eastAsia="zh-CN"/>
              </w:rPr>
              <w:t>高功率</w:t>
            </w:r>
          </w:p>
        </w:tc>
        <w:tc>
          <w:tcPr>
            <w:tcW w:w="2330" w:type="pct"/>
            <w:shd w:val="clear" w:color="auto" w:fill="auto"/>
            <w:vAlign w:val="center"/>
          </w:tcPr>
          <w:p w14:paraId="74F40708">
            <w:r>
              <w:rPr>
                <w:lang w:val="en-US" w:eastAsia="zh-CN"/>
              </w:rPr>
              <w:t>2~5 s</w:t>
            </w:r>
          </w:p>
        </w:tc>
      </w:tr>
    </w:tbl>
    <w:p w14:paraId="50182068"/>
    <w:p w14:paraId="54896FEF">
      <w:pPr>
        <w:jc w:val="center"/>
      </w:pPr>
    </w:p>
    <w:p w14:paraId="0797E670">
      <w:pPr>
        <w:jc w:val="center"/>
      </w:pPr>
    </w:p>
    <w:p w14:paraId="7EA01221">
      <w:pPr>
        <w:jc w:val="center"/>
      </w:pPr>
    </w:p>
    <w:p w14:paraId="55B8E17B">
      <w:pPr>
        <w:jc w:val="center"/>
      </w:pPr>
    </w:p>
    <w:p w14:paraId="01280A61">
      <w:pPr>
        <w:jc w:val="center"/>
      </w:pPr>
    </w:p>
    <w:p w14:paraId="49B8F50E">
      <w:pPr>
        <w:jc w:val="center"/>
      </w:pPr>
    </w:p>
    <w:p w14:paraId="462501BD">
      <w:pPr>
        <w:jc w:val="center"/>
      </w:pPr>
    </w:p>
    <w:p w14:paraId="5CB92900">
      <w:pPr>
        <w:jc w:val="center"/>
      </w:pPr>
    </w:p>
    <w:p w14:paraId="36EF2894">
      <w:pPr>
        <w:jc w:val="center"/>
      </w:pPr>
    </w:p>
    <w:p w14:paraId="2A18832B">
      <w:pPr>
        <w:jc w:val="center"/>
      </w:pPr>
    </w:p>
    <w:p w14:paraId="40611CC0">
      <w:pPr>
        <w:jc w:val="center"/>
      </w:pPr>
    </w:p>
    <w:p w14:paraId="6D268B97">
      <w:pPr>
        <w:jc w:val="center"/>
      </w:pPr>
    </w:p>
    <w:p w14:paraId="0FBA0E62">
      <w:pPr>
        <w:jc w:val="center"/>
      </w:pPr>
    </w:p>
    <w:p w14:paraId="0AABB530">
      <w:pPr>
        <w:jc w:val="center"/>
      </w:pPr>
    </w:p>
    <w:p w14:paraId="5B718D08">
      <w:pPr>
        <w:jc w:val="center"/>
      </w:pPr>
    </w:p>
    <w:p w14:paraId="4A9BF41C">
      <w:pPr>
        <w:jc w:val="center"/>
      </w:pPr>
      <w:r>
        <w:rPr>
          <w:rFonts w:hint="eastAsia"/>
          <w:lang w:val="en-US" w:eastAsia="zh-CN"/>
        </w:rPr>
        <w:t>新系统</w:t>
      </w:r>
      <w:r>
        <w:t>控制</w:t>
      </w:r>
      <w:r>
        <w:rPr>
          <w:rFonts w:hint="eastAsia"/>
          <w:lang w:val="en-US" w:eastAsia="zh-CN"/>
        </w:rPr>
        <w:t>逻辑</w:t>
      </w:r>
      <w:r>
        <w:t>结构</w:t>
      </w:r>
    </w:p>
    <w:p w14:paraId="59AF4787">
      <w:pPr>
        <w:jc w:val="center"/>
      </w:pPr>
    </w:p>
    <w:p w14:paraId="0B58A0D3">
      <w:pPr>
        <w:jc w:val="center"/>
        <w:rPr>
          <w:rFonts w:hint="eastAsia" w:ascii="黑体" w:hAnsi="黑体" w:eastAsia="黑体" w:cs="黑体"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1824990</wp:posOffset>
                </wp:positionH>
                <wp:positionV relativeFrom="paragraph">
                  <wp:posOffset>64135</wp:posOffset>
                </wp:positionV>
                <wp:extent cx="1619250" cy="285750"/>
                <wp:effectExtent l="12700" t="12700" r="13970" b="2159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67990" y="1374775"/>
                          <a:ext cx="1619250" cy="285750"/>
                        </a:xfrm>
                        <a:prstGeom prst="rect">
                          <a:avLst/>
                        </a:prstGeom>
                        <a:noFill/>
                        <a:ln w="25400"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3.7pt;margin-top:5.05pt;height:22.5pt;width:127.5pt;z-index:251659264;v-text-anchor:middle;mso-width-relative:page;mso-height-relative:page;" filled="f" stroked="t" coordsize="21600,21600" o:gfxdata="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FiSknDZAAAACQEAAA8AAAAA&#10;AAAAAQAgAAAAIgAAAGRycy9kb3ducmV2LnhtbFBLAQIUABQAAAAIAIdO4kAYlsqLhQIAAPkEAAAO&#10;AAAAAAAAAAEAIAAAACgBAABkcnMvZTJvRG9jLnhtbFBLBQYAAAAABgAGAFkBAAAfBgAAAAA=&#10;">
                <v:fill on="f" focussize="0,0"/>
                <v:stroke weight="2pt" color="#2E54A1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黑体" w:hAnsi="黑体" w:eastAsia="黑体" w:cs="黑体"/>
          <w:sz w:val="28"/>
          <w:szCs w:val="28"/>
        </w:rPr>
        <w:t>排放因子功率前馈</w:t>
      </w:r>
    </w:p>
    <w:p w14:paraId="559A00F9">
      <w:pPr>
        <w:jc w:val="center"/>
        <w:rPr>
          <w:rFonts w:hint="eastAsia" w:ascii="黑体" w:hAnsi="黑体" w:eastAsia="黑体" w:cs="黑体"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1539240</wp:posOffset>
                </wp:positionH>
                <wp:positionV relativeFrom="paragraph">
                  <wp:posOffset>382270</wp:posOffset>
                </wp:positionV>
                <wp:extent cx="2200275" cy="414655"/>
                <wp:effectExtent l="12700" t="12700" r="27305" b="1460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82240" y="2089150"/>
                          <a:ext cx="2200275" cy="414655"/>
                        </a:xfrm>
                        <a:prstGeom prst="rect">
                          <a:avLst/>
                        </a:prstGeom>
                        <a:noFill/>
                        <a:ln w="25400"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1.2pt;margin-top:30.1pt;height:32.65pt;width:173.25pt;z-index:251660288;v-text-anchor:middle;mso-width-relative:page;mso-height-relative:page;" filled="f" stroked="t" coordsize="21600,21600" o:gfxdata="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C4Stsj2gAAAAoBAAAP&#10;AAAAAAAAAAEAIAAAACIAAABkcnMvZG93bnJldi54bWxQSwECFAAUAAAACACHTuJACd5/+ogCAAD5&#10;BAAADgAAAAAAAAABACAAAAApAQAAZHJzL2Uyb0RvYy54bWxQSwUGAAAAAAYABgBZAQAAIwYAAAAA&#10;">
                <v:fill on="f" focussize="0,0"/>
                <v:stroke weight="2pt" color="#2E54A1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黑体" w:hAnsi="黑体" w:eastAsia="黑体" w:cs="黑体"/>
          <w:sz w:val="28"/>
          <w:szCs w:val="28"/>
        </w:rPr>
        <w:t>↓</w:t>
      </w:r>
    </w:p>
    <w:p w14:paraId="6C6FC740">
      <w:pPr>
        <w:jc w:val="center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进气温度/海拔/空气量修正</w:t>
      </w:r>
    </w:p>
    <w:p w14:paraId="17AA161C">
      <w:pPr>
        <w:jc w:val="center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↓</w:t>
      </w:r>
    </w:p>
    <w:p w14:paraId="23AD5C29">
      <w:pPr>
        <w:jc w:val="center"/>
        <w:rPr>
          <w:rFonts w:hint="eastAsia" w:ascii="黑体" w:hAnsi="黑体" w:eastAsia="黑体" w:cs="黑体"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1645285</wp:posOffset>
                </wp:positionH>
                <wp:positionV relativeFrom="paragraph">
                  <wp:posOffset>45720</wp:posOffset>
                </wp:positionV>
                <wp:extent cx="2008505" cy="323850"/>
                <wp:effectExtent l="12700" t="12700" r="20955" b="1397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77820" y="2941320"/>
                          <a:ext cx="2008505" cy="323850"/>
                        </a:xfrm>
                        <a:prstGeom prst="rect">
                          <a:avLst/>
                        </a:prstGeom>
                        <a:noFill/>
                        <a:ln w="25400"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9.55pt;margin-top:3.6pt;height:25.5pt;width:158.15pt;z-index:251661312;v-text-anchor:middle;mso-width-relative:page;mso-height-relative:page;" filled="f" stroked="t" coordsize="21600,21600" o:gfxdata="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AMLD+tkAAAAIAQAADwAAAAAA&#10;AAABACAAAAAiAAAAZHJzL2Rvd25yZXYueG1sUEsBAhQAFAAAAAgAh07iQA+0cl6EAgAA+QQAAA4A&#10;AAAAAAAAAQAgAAAAKAEAAGRycy9lMm9Eb2MueG1sUEsFBgAAAAAGAAYAWQEAAB4GAAAAAA==&#10;">
                <v:fill on="f" focussize="0,0"/>
                <v:stroke weight="2pt" color="#2E54A1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黑体" w:hAnsi="黑体" w:eastAsia="黑体" w:cs="黑体"/>
          <w:sz w:val="28"/>
          <w:szCs w:val="28"/>
        </w:rPr>
        <w:t>上游 NOx 稳态融合修正</w:t>
      </w:r>
    </w:p>
    <w:p w14:paraId="24E588E3">
      <w:pPr>
        <w:jc w:val="center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↓</w:t>
      </w:r>
    </w:p>
    <w:p w14:paraId="015203E2">
      <w:pPr>
        <w:jc w:val="center"/>
        <w:rPr>
          <w:rFonts w:hint="eastAsia" w:ascii="黑体" w:hAnsi="黑体" w:eastAsia="黑体" w:cs="黑体"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2115820</wp:posOffset>
                </wp:positionH>
                <wp:positionV relativeFrom="paragraph">
                  <wp:posOffset>71755</wp:posOffset>
                </wp:positionV>
                <wp:extent cx="1104900" cy="271780"/>
                <wp:effectExtent l="12700" t="12700" r="25400" b="2032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58820" y="3759835"/>
                          <a:ext cx="1104900" cy="271780"/>
                        </a:xfrm>
                        <a:prstGeom prst="rect">
                          <a:avLst/>
                        </a:prstGeom>
                        <a:noFill/>
                        <a:ln w="25400"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66.6pt;margin-top:5.65pt;height:21.4pt;width:87pt;z-index:251662336;v-text-anchor:middle;mso-width-relative:page;mso-height-relative:page;" filled="f" stroked="t" coordsize="21600,21600" o:gfxdata="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BganY22AAAAAkBAAAPAAAA&#10;AAAAAAEAIAAAACIAAABkcnMvZG93bnJldi54bWxQSwECFAAUAAAACACHTuJAqxHB5ocCAAD5BAAA&#10;DgAAAAAAAAABACAAAAAnAQAAZHJzL2Uyb0RvYy54bWxQSwUGAAAAAAYABgBZAQAAIAYAAAAA&#10;">
                <v:fill on="f" focussize="0,0"/>
                <v:stroke weight="2pt" color="#2E54A1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黑体" w:hAnsi="黑体" w:eastAsia="黑体" w:cs="黑体"/>
          <w:sz w:val="28"/>
          <w:szCs w:val="28"/>
        </w:rPr>
        <w:t>基础喷射量</w:t>
      </w:r>
    </w:p>
    <w:p w14:paraId="2F1CC604">
      <w:pPr>
        <w:jc w:val="center"/>
        <w:rPr>
          <w:rFonts w:hint="eastAsia" w:ascii="黑体" w:hAnsi="黑体" w:eastAsia="黑体" w:cs="黑体"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1253490</wp:posOffset>
                </wp:positionH>
                <wp:positionV relativeFrom="paragraph">
                  <wp:posOffset>372745</wp:posOffset>
                </wp:positionV>
                <wp:extent cx="2843530" cy="414655"/>
                <wp:effectExtent l="12700" t="12700" r="24130" b="14605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96490" y="4457065"/>
                          <a:ext cx="2843530" cy="414655"/>
                        </a:xfrm>
                        <a:prstGeom prst="rect">
                          <a:avLst/>
                        </a:prstGeom>
                        <a:noFill/>
                        <a:ln w="25400"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8.7pt;margin-top:29.35pt;height:32.65pt;width:223.9pt;z-index:251663360;v-text-anchor:middle;mso-width-relative:page;mso-height-relative:page;" filled="f" stroked="t" coordsize="21600,21600" o:gfxdata="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o9D8StoAAAAKAQAADwAA&#10;AAAAAAABACAAAAAiAAAAZHJzL2Rvd25yZXYueG1sUEsBAhQAFAAAAAgAh07iQEVsf+qGAgAA+QQA&#10;AA4AAAAAAAAAAQAgAAAAKQEAAGRycy9lMm9Eb2MueG1sUEsFBgAAAAAGAAYAWQEAACEGAAAAAA==&#10;">
                <v:fill on="f" focussize="0,0"/>
                <v:stroke weight="2pt" color="#2E54A1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黑体" w:hAnsi="黑体" w:eastAsia="黑体" w:cs="黑体"/>
          <w:sz w:val="28"/>
          <w:szCs w:val="28"/>
        </w:rPr>
        <w:t>↓</w:t>
      </w:r>
    </w:p>
    <w:p w14:paraId="2AF739D0">
      <w:pPr>
        <w:jc w:val="center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温度效率/喷射允许/最大喷射限制</w:t>
      </w:r>
    </w:p>
    <w:p w14:paraId="202E0427">
      <w:pPr>
        <w:jc w:val="center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↓</w:t>
      </w:r>
    </w:p>
    <w:p w14:paraId="5EE14D18">
      <w:pPr>
        <w:jc w:val="center"/>
        <w:rPr>
          <w:rFonts w:hint="eastAsia" w:ascii="黑体" w:hAnsi="黑体" w:eastAsia="黑体" w:cs="黑体"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1791970</wp:posOffset>
                </wp:positionH>
                <wp:positionV relativeFrom="paragraph">
                  <wp:posOffset>55245</wp:posOffset>
                </wp:positionV>
                <wp:extent cx="1743075" cy="333375"/>
                <wp:effectExtent l="12700" t="12700" r="27305" b="1968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34970" y="5328285"/>
                          <a:ext cx="1743075" cy="333375"/>
                        </a:xfrm>
                        <a:prstGeom prst="rect">
                          <a:avLst/>
                        </a:prstGeom>
                        <a:noFill/>
                        <a:ln w="25400"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1.1pt;margin-top:4.35pt;height:26.25pt;width:137.25pt;z-index:251664384;v-text-anchor:middle;mso-width-relative:page;mso-height-relative:page;" filled="f" stroked="t" coordsize="21600,21600" o:gfxdata="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D6OVcq2QAAAAgBAAAP&#10;AAAAAAAAAAEAIAAAACIAAABkcnMvZG93bnJldi54bWxQSwECFAAUAAAACACHTuJAFb173YkCAAD5&#10;BAAADgAAAAAAAAABACAAAAAoAQAAZHJzL2Uyb0RvYy54bWxQSwUGAAAAAAYABgBZAQAAIwYAAAAA&#10;">
                <v:fill on="f" focussize="0,0"/>
                <v:stroke weight="2pt" color="#2E54A1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黑体" w:hAnsi="黑体" w:eastAsia="黑体" w:cs="黑体"/>
          <w:sz w:val="28"/>
          <w:szCs w:val="28"/>
        </w:rPr>
        <w:t>下游 NOx 模型预测</w:t>
      </w:r>
    </w:p>
    <w:p w14:paraId="3B70304D">
      <w:pPr>
        <w:jc w:val="center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↓</w:t>
      </w:r>
    </w:p>
    <w:p w14:paraId="4DAEDF81">
      <w:pPr>
        <w:jc w:val="center"/>
        <w:rPr>
          <w:rFonts w:hint="eastAsia" w:ascii="黑体" w:hAnsi="黑体" w:eastAsia="黑体" w:cs="黑体"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1738630</wp:posOffset>
                </wp:positionH>
                <wp:positionV relativeFrom="paragraph">
                  <wp:posOffset>48260</wp:posOffset>
                </wp:positionV>
                <wp:extent cx="1800225" cy="347980"/>
                <wp:effectExtent l="12700" t="12700" r="15875" b="2032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68295" y="6113780"/>
                          <a:ext cx="1800225" cy="347980"/>
                        </a:xfrm>
                        <a:prstGeom prst="rect">
                          <a:avLst/>
                        </a:prstGeom>
                        <a:noFill/>
                        <a:ln w="25400"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6.9pt;margin-top:3.8pt;height:27.4pt;width:141.75pt;z-index:251665408;v-text-anchor:middle;mso-width-relative:page;mso-height-relative:page;" filled="f" stroked="t" coordsize="21600,21600" o:gfxdata="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ARXXNNkAAAAIAQAADwAA&#10;AAAAAAABACAAAAAiAAAAZHJzL2Rvd25yZXYueG1sUEsBAhQAFAAAAAgAh07iQHcfACqHAgAA+QQA&#10;AA4AAAAAAAAAAQAgAAAAKAEAAGRycy9lMm9Eb2MueG1sUEsFBgAAAAAGAAYAWQEAACEGAAAAAA==&#10;">
                <v:fill on="f" focussize="0,0"/>
                <v:stroke weight="2pt" color="#2E54A1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黑体" w:hAnsi="黑体" w:eastAsia="黑体" w:cs="黑体"/>
          <w:sz w:val="28"/>
          <w:szCs w:val="28"/>
        </w:rPr>
        <w:t>NH3 估算与快速限喷</w:t>
      </w:r>
    </w:p>
    <w:p w14:paraId="23953282">
      <w:pPr>
        <w:jc w:val="center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↓</w:t>
      </w:r>
    </w:p>
    <w:p w14:paraId="49D2084D">
      <w:pPr>
        <w:jc w:val="center"/>
        <w:rPr>
          <w:rFonts w:hint="eastAsia" w:ascii="黑体" w:hAnsi="黑体" w:eastAsia="黑体" w:cs="黑体"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1882140</wp:posOffset>
                </wp:positionH>
                <wp:positionV relativeFrom="paragraph">
                  <wp:posOffset>41275</wp:posOffset>
                </wp:positionV>
                <wp:extent cx="1571625" cy="314325"/>
                <wp:effectExtent l="12700" t="12700" r="15875" b="23495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25140" y="6946900"/>
                          <a:ext cx="1571625" cy="314325"/>
                        </a:xfrm>
                        <a:prstGeom prst="rect">
                          <a:avLst/>
                        </a:prstGeom>
                        <a:noFill/>
                        <a:ln w="25400"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8.2pt;margin-top:3.25pt;height:24.75pt;width:123.75pt;z-index:251666432;v-text-anchor:middle;mso-width-relative:page;mso-height-relative:page;" filled="f" stroked="t" coordsize="21600,21600" o:gfxdata="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AxxdwF2QAAAAgBAAAP&#10;AAAAAAAAAAEAIAAAACIAAABkcnMvZG93bnJldi54bWxQSwECFAAUAAAACACHTuJAj+yRvIkCAAD5&#10;BAAADgAAAAAAAAABACAAAAAoAQAAZHJzL2Uyb0RvYy54bWxQSwUGAAAAAAYABgBZAQAAIwYAAAAA&#10;">
                <v:fill on="f" focussize="0,0"/>
                <v:stroke weight="2pt" color="#2E54A1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黑体" w:hAnsi="黑体" w:eastAsia="黑体" w:cs="黑体"/>
          <w:sz w:val="28"/>
          <w:szCs w:val="28"/>
        </w:rPr>
        <w:t>NOx 慢速闭环微调</w:t>
      </w:r>
    </w:p>
    <w:p w14:paraId="533C69F6">
      <w:pPr>
        <w:jc w:val="center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↓</w:t>
      </w:r>
    </w:p>
    <w:p w14:paraId="6C26E154">
      <w:pPr>
        <w:ind w:firstLine="3640" w:firstLineChars="1300"/>
        <w:jc w:val="both"/>
        <w:rPr>
          <w:rFonts w:hint="eastAsia" w:ascii="黑体" w:hAnsi="黑体" w:eastAsia="黑体" w:cs="黑体"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2186940</wp:posOffset>
                </wp:positionH>
                <wp:positionV relativeFrom="paragraph">
                  <wp:posOffset>10795</wp:posOffset>
                </wp:positionV>
                <wp:extent cx="948055" cy="342900"/>
                <wp:effectExtent l="12700" t="12700" r="14605" b="2540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29940" y="7661275"/>
                          <a:ext cx="948055" cy="342900"/>
                        </a:xfrm>
                        <a:prstGeom prst="rect">
                          <a:avLst/>
                        </a:prstGeom>
                        <a:noFill/>
                        <a:ln w="25400"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72.2pt;margin-top:0.85pt;height:27pt;width:74.65pt;z-index:251667456;v-text-anchor:middle;mso-width-relative:page;mso-height-relative:page;" filled="f" stroked="t" coordsize="21600,21600" o:gfxdata="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WerFitgAAAAIAQAADwAA&#10;AAAAAAABACAAAAAiAAAAZHJzL2Rvd25yZXYueG1sUEsBAhQAFAAAAAgAh07iQHoIzWeIAgAA+gQA&#10;AA4AAAAAAAAAAQAgAAAAJwEAAGRycy9lMm9Eb2MueG1sUEsFBgAAAAAGAAYAWQEAACEGAAAAAA==&#10;">
                <v:fill on="f" focussize="0,0"/>
                <v:stroke weight="2pt" color="#2E54A1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黑体" w:hAnsi="黑体" w:eastAsia="黑体" w:cs="黑体"/>
          <w:sz w:val="28"/>
          <w:szCs w:val="28"/>
        </w:rPr>
        <w:t>喷射输出</w:t>
      </w:r>
    </w:p>
    <w:p w14:paraId="5A32C7A2">
      <w:pPr>
        <w:jc w:val="center"/>
      </w:pPr>
    </w:p>
    <w:p w14:paraId="27C28949">
      <w:pPr>
        <w:jc w:val="center"/>
      </w:pPr>
    </w:p>
    <w:p w14:paraId="0BEAFB97">
      <w:pPr>
        <w:jc w:val="center"/>
      </w:pPr>
    </w:p>
    <w:p w14:paraId="028D587F">
      <w:pPr>
        <w:jc w:val="center"/>
      </w:pPr>
    </w:p>
    <w:p w14:paraId="660A9B4D">
      <w:pPr>
        <w:jc w:val="left"/>
      </w:pPr>
    </w:p>
    <w:p w14:paraId="6A3C5CBD">
      <w:pPr>
        <w:jc w:val="left"/>
      </w:pPr>
    </w:p>
    <w:p w14:paraId="601981DD">
      <w:pPr>
        <w:jc w:val="left"/>
      </w:pPr>
    </w:p>
    <w:p w14:paraId="0FFCC4B9">
      <w:pPr>
        <w:jc w:val="left"/>
      </w:pPr>
    </w:p>
    <w:p w14:paraId="18769F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原有系统存在的问题：</w:t>
      </w:r>
    </w:p>
    <w:p w14:paraId="4D3916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原系统通过实时检测排气流量来计算最终scr喷射量，在长期的使用中存在以下几方面的问题：</w:t>
      </w:r>
    </w:p>
    <w:p w14:paraId="479199D3">
      <w:pPr>
        <w:rPr>
          <w:rFonts w:hint="eastAsia"/>
        </w:rPr>
      </w:pPr>
      <w:r>
        <w:rPr>
          <w:rFonts w:hint="eastAsia"/>
          <w:lang w:val="en-US" w:eastAsia="zh-CN"/>
        </w:rPr>
        <w:t>一、</w:t>
      </w:r>
      <w:r>
        <w:rPr>
          <w:rFonts w:hint="eastAsia"/>
        </w:rPr>
        <w:t>实际工况中，</w:t>
      </w:r>
      <w:r>
        <w:rPr>
          <w:rFonts w:hint="eastAsia"/>
          <w:lang w:val="en-US" w:eastAsia="zh-CN"/>
        </w:rPr>
        <w:t>排气</w:t>
      </w:r>
      <w:r>
        <w:rPr>
          <w:rFonts w:hint="eastAsia"/>
        </w:rPr>
        <w:t>流量与负荷（或喷油量）的关系往往不是完美的直线，尤其是在涡轮增压器介入的前后，流量会发生非线性跳跃。</w:t>
      </w:r>
    </w:p>
    <w:p w14:paraId="288CE4BD">
      <w:pPr>
        <w:rPr>
          <w:rFonts w:hint="eastAsia"/>
        </w:rPr>
      </w:pPr>
      <w:r>
        <w:rPr>
          <w:rFonts w:hint="eastAsia"/>
        </w:rPr>
        <w:t>如果环境温度从 10°C 变到 35°C，或者海拔升高，即便负荷点不变，排气的体积流量和流速也会发生剧烈变化。这会直接影响催化剂的“空速”（Space Velocity），进而影响氨气的</w:t>
      </w:r>
      <w:r>
        <w:rPr>
          <w:rFonts w:hint="eastAsia"/>
          <w:lang w:val="en-US" w:eastAsia="zh-CN"/>
        </w:rPr>
        <w:t>吸附，导致氨逃逸量增加</w:t>
      </w:r>
      <w:r>
        <w:rPr>
          <w:rFonts w:hint="eastAsia"/>
        </w:rPr>
        <w:t>。</w:t>
      </w:r>
    </w:p>
    <w:p w14:paraId="3C3371B9">
      <w:pPr>
        <w:rPr>
          <w:rFonts w:hint="eastAsia"/>
        </w:rPr>
      </w:pPr>
      <w:r>
        <w:rPr>
          <w:rFonts w:hint="eastAsia"/>
        </w:rPr>
        <w:t>当设备急加负载时，燃油量瞬间增加，NOx 爆发式产生，但</w:t>
      </w:r>
      <w:r>
        <w:rPr>
          <w:rFonts w:hint="eastAsia"/>
          <w:lang w:val="en-US" w:eastAsia="zh-CN"/>
        </w:rPr>
        <w:t>由于流量检测波动和滞后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系统</w:t>
      </w:r>
      <w:r>
        <w:rPr>
          <w:rFonts w:hint="eastAsia"/>
        </w:rPr>
        <w:t>只能机械地根据当前的</w:t>
      </w:r>
      <w:r>
        <w:rPr>
          <w:rFonts w:hint="eastAsia"/>
          <w:lang w:val="en-US" w:eastAsia="zh-CN"/>
        </w:rPr>
        <w:t>计算值</w:t>
      </w:r>
      <w:r>
        <w:rPr>
          <w:rFonts w:hint="eastAsia"/>
        </w:rPr>
        <w:t>进行喷射。后果：响应滞后导致短时间内 NOx 严重超标。</w:t>
      </w:r>
    </w:p>
    <w:p w14:paraId="20CFCC0D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当催化剂处理效率降低时系统不具备自我调节功能，会导致过喷，造成氨逃逸。</w:t>
      </w:r>
    </w:p>
    <w:p w14:paraId="4AE79BF5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无法补偿当发动机使用环境改变，</w:t>
      </w:r>
      <w:r>
        <w:t>高海拔、进气温度变化、发动机状态变化导致的标定偏差</w:t>
      </w:r>
      <w:r>
        <w:rPr>
          <w:rFonts w:hint="eastAsia"/>
          <w:lang w:eastAsia="zh-CN"/>
        </w:rPr>
        <w:t>。</w:t>
      </w:r>
    </w:p>
    <w:p w14:paraId="5194D243">
      <w:pPr>
        <w:rPr>
          <w:rFonts w:hint="eastAsia" w:asciiTheme="minorHAnsi" w:hAnsiTheme="minorHAnsi" w:eastAsiaTheme="minorEastAsia" w:cstheme="minorBidi"/>
          <w:b/>
          <w:bCs/>
          <w:color w:val="FF0000"/>
          <w:kern w:val="2"/>
          <w:sz w:val="28"/>
          <w:szCs w:val="28"/>
          <w:lang w:val="en-US" w:eastAsia="zh-CN" w:bidi="ar-SA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为什么功率排放因子作为前馈要优于检测流量？</w:t>
      </w:r>
    </w:p>
    <w:p w14:paraId="6C3C4B4F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1. 信号源的“绝对可靠性”</w:t>
      </w:r>
    </w:p>
    <w:p w14:paraId="35D0C8C0">
      <w:pPr>
        <w:widowControl w:val="0"/>
        <w:numPr>
          <w:ilvl w:val="0"/>
          <w:numId w:val="0"/>
        </w:numPr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功率信号：无论是通过电流电压计算（发电机组），还是通过转速转矩计算（机械动力），功率信号是直接反映系统能量输出的硬指标。功率稳定，意味着消耗的燃料和产生的NOx总量在一个可预测的范围内。</w:t>
      </w:r>
    </w:p>
    <w:p w14:paraId="4CF601DF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2. 逻辑链条更短，误差积累少</w:t>
      </w:r>
    </w:p>
    <w:p w14:paraId="2188979C">
      <w:pPr>
        <w:widowControl w:val="0"/>
        <w:numPr>
          <w:ilvl w:val="0"/>
          <w:numId w:val="0"/>
        </w:numPr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在控制算法中，链条越长，误差越大：</w:t>
      </w:r>
    </w:p>
    <w:p w14:paraId="2A51FDFB">
      <w:pPr>
        <w:widowControl w:val="0"/>
        <w:numPr>
          <w:ilvl w:val="0"/>
          <w:numId w:val="0"/>
        </w:numPr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流量逻辑：负荷 → 查表流量 → 结合NOx浓度插值 → 喷射量。</w:t>
      </w:r>
    </w:p>
    <w:p w14:paraId="618240F6">
      <w:pPr>
        <w:widowControl w:val="0"/>
        <w:numPr>
          <w:ilvl w:val="0"/>
          <w:numId w:val="0"/>
        </w:numPr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排放因子逻辑：功率输出 → 对应g/kWh因子 → 喷射量。</w:t>
      </w:r>
    </w:p>
    <w:p w14:paraId="441B6D11">
      <w:pPr>
        <w:widowControl w:val="0"/>
        <w:numPr>
          <w:ilvl w:val="0"/>
          <w:numId w:val="0"/>
        </w:numPr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排放因子直接将“干了多少活”和“该喷多少尿素”挂钩。在传感器（流量计）不可靠的环境下，减少中间变量（流量）的参与，能有效避免“测不准”带来的计算波动。</w:t>
      </w:r>
    </w:p>
    <w:p w14:paraId="475E10E0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3. 天然具备“自补偿”能力</w:t>
      </w:r>
    </w:p>
    <w:p w14:paraId="43D331F3">
      <w:pPr>
        <w:widowControl w:val="0"/>
        <w:numPr>
          <w:ilvl w:val="0"/>
          <w:numId w:val="0"/>
        </w:numPr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烟气流量受温度影响巨大（热胀冷缩），但质量流量其实是与喷油量（负荷）强相关的。</w:t>
      </w:r>
    </w:p>
    <w:p w14:paraId="769604E1">
      <w:pPr>
        <w:widowControl w:val="0"/>
        <w:numPr>
          <w:ilvl w:val="0"/>
          <w:numId w:val="0"/>
        </w:numPr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排放因子（g/kWh）本质上是基于能量平衡。</w:t>
      </w:r>
    </w:p>
    <w:p w14:paraId="3E456915">
      <w:pPr>
        <w:widowControl w:val="0"/>
        <w:numPr>
          <w:ilvl w:val="0"/>
          <w:numId w:val="0"/>
        </w:numPr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当使用功率作为前馈时，系统对环境扰动（如环境高温导致空气稀薄）的敏感度，通常比一个未经实时修正的“静态流量表”要低。</w:t>
      </w:r>
    </w:p>
    <w:p w14:paraId="3033D90A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4. 调试与对标的直观性</w:t>
      </w:r>
    </w:p>
    <w:p w14:paraId="3024EF03">
      <w:pPr>
        <w:widowControl w:val="0"/>
        <w:numPr>
          <w:ilvl w:val="0"/>
          <w:numId w:val="0"/>
        </w:numPr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符合法规语言：环保部门检测时，最终看的就是 g/kWh。</w:t>
      </w:r>
    </w:p>
    <w:p w14:paraId="4BB2EE44">
      <w:pPr>
        <w:widowControl w:val="0"/>
        <w:numPr>
          <w:ilvl w:val="0"/>
          <w:numId w:val="0"/>
        </w:numPr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易于修正：如果检测发现排放超标 10%，你只需要在对应功率点的排放因子上增加 10% 即可。</w:t>
      </w:r>
    </w:p>
    <w:p w14:paraId="6B8537C6">
      <w:pPr>
        <w:widowControl w:val="0"/>
        <w:numPr>
          <w:ilvl w:val="0"/>
          <w:numId w:val="0"/>
        </w:numPr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容错空间：相比于跳动剧烈、难以校准的高温流量信号，功率信号非常平滑，不会导致尿素泵频繁地启停或剧烈调节，延长了执行器的寿命。</w:t>
      </w:r>
    </w:p>
    <w:p w14:paraId="17AF51E6">
      <w:pPr>
        <w:widowControl w:val="0"/>
        <w:numPr>
          <w:ilvl w:val="0"/>
          <w:numId w:val="0"/>
        </w:numPr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新系统针对催化剂老化和机组使用环境变化做出了应对措施。</w:t>
      </w:r>
    </w:p>
    <w:p w14:paraId="527AFEFC">
      <w:r>
        <w:rPr>
          <w:rFonts w:hint="eastAsia"/>
          <w:lang w:val="en-US" w:eastAsia="zh-CN"/>
        </w:rPr>
        <w:t>1、</w:t>
      </w:r>
      <w:r>
        <w:t>上游 NOx 修正前馈</w:t>
      </w:r>
    </w:p>
    <w:p w14:paraId="5C724460">
      <w:r>
        <w:t>排放因子曲线在标定环境下准确，但遇到高海拔、进气温度变化、发动机老化、燃油差异时会偏。</w:t>
      </w:r>
      <w:r>
        <w:rPr>
          <w:rFonts w:hint="eastAsia"/>
          <w:lang w:val="en-US" w:eastAsia="zh-CN"/>
        </w:rPr>
        <w:t>我们的做法是在软件中设定各种工况下排放因子和上游NOx权重，</w:t>
      </w:r>
      <w:r>
        <w:t>这样可以兼顾响应速度和环境适应性</w:t>
      </w:r>
    </w:p>
    <w:tbl>
      <w:tblPr>
        <w:tblStyle w:val="6"/>
        <w:tblpPr w:leftFromText="180" w:rightFromText="180" w:vertAnchor="text" w:horzAnchor="page" w:tblpX="1791" w:tblpY="298"/>
        <w:tblOverlap w:val="never"/>
        <w:tblW w:w="4998" w:type="pct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81"/>
        <w:gridCol w:w="2307"/>
        <w:gridCol w:w="2605"/>
      </w:tblGrid>
      <w:tr w14:paraId="3784D2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046" w:type="pct"/>
            <w:shd w:val="clear" w:color="auto" w:fill="auto"/>
            <w:vAlign w:val="center"/>
          </w:tcPr>
          <w:p w14:paraId="3943C6B1">
            <w:r>
              <w:rPr>
                <w:lang w:val="en-US" w:eastAsia="zh-CN"/>
              </w:rPr>
              <w:t>工况</w:t>
            </w:r>
          </w:p>
        </w:tc>
        <w:tc>
          <w:tcPr>
            <w:tcW w:w="1356" w:type="pct"/>
            <w:shd w:val="clear" w:color="auto" w:fill="auto"/>
            <w:vAlign w:val="center"/>
          </w:tcPr>
          <w:p w14:paraId="1FDDFD51">
            <w:r>
              <w:rPr>
                <w:lang w:val="en-US" w:eastAsia="zh-CN"/>
              </w:rPr>
              <w:t>排放因子权重</w:t>
            </w:r>
          </w:p>
        </w:tc>
        <w:tc>
          <w:tcPr>
            <w:tcW w:w="1524" w:type="pct"/>
            <w:shd w:val="clear" w:color="auto" w:fill="auto"/>
            <w:vAlign w:val="center"/>
          </w:tcPr>
          <w:p w14:paraId="56D62FCA">
            <w:r>
              <w:rPr>
                <w:lang w:val="en-US" w:eastAsia="zh-CN"/>
              </w:rPr>
              <w:t>上游 NOx 权重</w:t>
            </w:r>
          </w:p>
        </w:tc>
      </w:tr>
      <w:tr w14:paraId="1DF756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46" w:type="pct"/>
            <w:shd w:val="clear" w:color="auto" w:fill="auto"/>
            <w:vAlign w:val="center"/>
          </w:tcPr>
          <w:p w14:paraId="79327017">
            <w:r>
              <w:rPr>
                <w:lang w:val="en-US" w:eastAsia="zh-CN"/>
              </w:rPr>
              <w:t>瞬态</w:t>
            </w:r>
          </w:p>
        </w:tc>
        <w:tc>
          <w:tcPr>
            <w:tcW w:w="1356" w:type="pct"/>
            <w:shd w:val="clear" w:color="auto" w:fill="auto"/>
            <w:vAlign w:val="center"/>
          </w:tcPr>
          <w:p w14:paraId="1CCAE510">
            <w:r>
              <w:rPr>
                <w:lang w:val="en-US" w:eastAsia="zh-CN"/>
              </w:rPr>
              <w:t>70%~90%</w:t>
            </w:r>
          </w:p>
        </w:tc>
        <w:tc>
          <w:tcPr>
            <w:tcW w:w="1524" w:type="pct"/>
            <w:shd w:val="clear" w:color="auto" w:fill="auto"/>
            <w:vAlign w:val="center"/>
          </w:tcPr>
          <w:p w14:paraId="7320E021">
            <w:r>
              <w:rPr>
                <w:lang w:val="en-US" w:eastAsia="zh-CN"/>
              </w:rPr>
              <w:t>10%~30%</w:t>
            </w:r>
          </w:p>
        </w:tc>
      </w:tr>
      <w:tr w14:paraId="000B02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46" w:type="pct"/>
            <w:shd w:val="clear" w:color="auto" w:fill="auto"/>
            <w:vAlign w:val="center"/>
          </w:tcPr>
          <w:p w14:paraId="499860C4">
            <w:r>
              <w:rPr>
                <w:lang w:val="en-US" w:eastAsia="zh-CN"/>
              </w:rPr>
              <w:t>稳态</w:t>
            </w:r>
          </w:p>
        </w:tc>
        <w:tc>
          <w:tcPr>
            <w:tcW w:w="1356" w:type="pct"/>
            <w:shd w:val="clear" w:color="auto" w:fill="auto"/>
            <w:vAlign w:val="center"/>
          </w:tcPr>
          <w:p w14:paraId="6C945352">
            <w:r>
              <w:rPr>
                <w:lang w:val="en-US" w:eastAsia="zh-CN"/>
              </w:rPr>
              <w:t>30%~50%</w:t>
            </w:r>
          </w:p>
        </w:tc>
        <w:tc>
          <w:tcPr>
            <w:tcW w:w="1524" w:type="pct"/>
            <w:shd w:val="clear" w:color="auto" w:fill="auto"/>
            <w:vAlign w:val="center"/>
          </w:tcPr>
          <w:p w14:paraId="5BAAB3D7">
            <w:r>
              <w:rPr>
                <w:lang w:val="en-US" w:eastAsia="zh-CN"/>
              </w:rPr>
              <w:t>50%~70%</w:t>
            </w:r>
          </w:p>
        </w:tc>
      </w:tr>
      <w:tr w14:paraId="32AAA9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46" w:type="pct"/>
            <w:shd w:val="clear" w:color="auto" w:fill="auto"/>
            <w:vAlign w:val="center"/>
          </w:tcPr>
          <w:p w14:paraId="7CB718D2">
            <w:r>
              <w:rPr>
                <w:lang w:val="en-US" w:eastAsia="zh-CN"/>
              </w:rPr>
              <w:t>上游 NOx 故障/预热</w:t>
            </w:r>
          </w:p>
        </w:tc>
        <w:tc>
          <w:tcPr>
            <w:tcW w:w="1356" w:type="pct"/>
            <w:shd w:val="clear" w:color="auto" w:fill="auto"/>
            <w:vAlign w:val="center"/>
          </w:tcPr>
          <w:p w14:paraId="1C5CC718">
            <w:r>
              <w:rPr>
                <w:lang w:val="en-US" w:eastAsia="zh-CN"/>
              </w:rPr>
              <w:t>100%</w:t>
            </w:r>
          </w:p>
        </w:tc>
        <w:tc>
          <w:tcPr>
            <w:tcW w:w="1524" w:type="pct"/>
            <w:shd w:val="clear" w:color="auto" w:fill="auto"/>
            <w:vAlign w:val="center"/>
          </w:tcPr>
          <w:p w14:paraId="0B69C4F1">
            <w:r>
              <w:rPr>
                <w:lang w:val="en-US" w:eastAsia="zh-CN"/>
              </w:rPr>
              <w:t>0%</w:t>
            </w:r>
          </w:p>
        </w:tc>
      </w:tr>
    </w:tbl>
    <w:p w14:paraId="06D506DD"/>
    <w:p w14:paraId="29E352F9">
      <w:r>
        <w:t xml:space="preserve">3. </w:t>
      </w:r>
      <w:r>
        <w:rPr>
          <w:rFonts w:hint="eastAsia"/>
          <w:lang w:val="en-US" w:eastAsia="zh-CN"/>
        </w:rPr>
        <w:t>针对催化剂的效率曲线</w:t>
      </w:r>
      <w:r>
        <w:t>建立温度效率模型</w:t>
      </w:r>
    </w:p>
    <w:p w14:paraId="228A3976">
      <w:r>
        <w:t>五个温度点可用：</w:t>
      </w:r>
    </w:p>
    <w:tbl>
      <w:tblPr>
        <w:tblStyle w:val="6"/>
        <w:tblW w:w="4999" w:type="pct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29"/>
        <w:gridCol w:w="5765"/>
      </w:tblGrid>
      <w:tr w14:paraId="3DB1E1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539" w:type="pct"/>
            <w:shd w:val="clear" w:color="auto" w:fill="auto"/>
            <w:vAlign w:val="center"/>
          </w:tcPr>
          <w:p w14:paraId="66545D3B">
            <w:r>
              <w:rPr>
                <w:lang w:val="en-US" w:eastAsia="zh-CN"/>
              </w:rPr>
              <w:t>温度点</w:t>
            </w:r>
          </w:p>
        </w:tc>
        <w:tc>
          <w:tcPr>
            <w:tcW w:w="3406" w:type="pct"/>
            <w:shd w:val="clear" w:color="auto" w:fill="auto"/>
            <w:vAlign w:val="center"/>
          </w:tcPr>
          <w:p w14:paraId="77B7E2AB">
            <w:r>
              <w:rPr>
                <w:lang w:val="en-US" w:eastAsia="zh-CN"/>
              </w:rPr>
              <w:t>意义</w:t>
            </w:r>
          </w:p>
        </w:tc>
      </w:tr>
      <w:tr w14:paraId="01E968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CellSpacing w:w="15" w:type="dxa"/>
        </w:trPr>
        <w:tc>
          <w:tcPr>
            <w:tcW w:w="1539" w:type="pct"/>
            <w:shd w:val="clear" w:color="auto" w:fill="auto"/>
            <w:vAlign w:val="center"/>
          </w:tcPr>
          <w:p w14:paraId="5A0F36B2">
            <w:r>
              <w:rPr>
                <w:lang w:val="en-US" w:eastAsia="zh-CN"/>
              </w:rPr>
              <w:t>200℃</w:t>
            </w:r>
          </w:p>
        </w:tc>
        <w:tc>
          <w:tcPr>
            <w:tcW w:w="3406" w:type="pct"/>
            <w:shd w:val="clear" w:color="auto" w:fill="auto"/>
            <w:vAlign w:val="center"/>
          </w:tcPr>
          <w:p w14:paraId="0AAD25D7">
            <w:r>
              <w:rPr>
                <w:lang w:val="en-US" w:eastAsia="zh-CN"/>
              </w:rPr>
              <w:t>刚进入反应区</w:t>
            </w:r>
          </w:p>
        </w:tc>
      </w:tr>
      <w:tr w14:paraId="1A75FE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39" w:type="pct"/>
            <w:shd w:val="clear" w:color="auto" w:fill="auto"/>
            <w:vAlign w:val="center"/>
          </w:tcPr>
          <w:p w14:paraId="391C96B4">
            <w:r>
              <w:rPr>
                <w:lang w:val="en-US" w:eastAsia="zh-CN"/>
              </w:rPr>
              <w:t>250℃</w:t>
            </w:r>
          </w:p>
        </w:tc>
        <w:tc>
          <w:tcPr>
            <w:tcW w:w="3406" w:type="pct"/>
            <w:shd w:val="clear" w:color="auto" w:fill="auto"/>
            <w:vAlign w:val="center"/>
          </w:tcPr>
          <w:p w14:paraId="1376522B">
            <w:r>
              <w:rPr>
                <w:lang w:val="en-US" w:eastAsia="zh-CN"/>
              </w:rPr>
              <w:t>有效反应区</w:t>
            </w:r>
          </w:p>
        </w:tc>
      </w:tr>
      <w:tr w14:paraId="1B9AAB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39" w:type="pct"/>
            <w:shd w:val="clear" w:color="auto" w:fill="auto"/>
            <w:vAlign w:val="center"/>
          </w:tcPr>
          <w:p w14:paraId="46E623BE">
            <w:r>
              <w:rPr>
                <w:lang w:val="en-US" w:eastAsia="zh-CN"/>
              </w:rPr>
              <w:t>300℃</w:t>
            </w:r>
          </w:p>
        </w:tc>
        <w:tc>
          <w:tcPr>
            <w:tcW w:w="3406" w:type="pct"/>
            <w:shd w:val="clear" w:color="auto" w:fill="auto"/>
            <w:vAlign w:val="center"/>
          </w:tcPr>
          <w:p w14:paraId="1522649C">
            <w:r>
              <w:rPr>
                <w:lang w:val="en-US" w:eastAsia="zh-CN"/>
              </w:rPr>
              <w:t>高效区</w:t>
            </w:r>
          </w:p>
        </w:tc>
      </w:tr>
      <w:tr w14:paraId="42D29A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39" w:type="pct"/>
            <w:shd w:val="clear" w:color="auto" w:fill="auto"/>
            <w:vAlign w:val="center"/>
          </w:tcPr>
          <w:p w14:paraId="40259081">
            <w:r>
              <w:rPr>
                <w:lang w:val="en-US" w:eastAsia="zh-CN"/>
              </w:rPr>
              <w:t>350℃</w:t>
            </w:r>
          </w:p>
        </w:tc>
        <w:tc>
          <w:tcPr>
            <w:tcW w:w="3406" w:type="pct"/>
            <w:shd w:val="clear" w:color="auto" w:fill="auto"/>
            <w:vAlign w:val="center"/>
          </w:tcPr>
          <w:p w14:paraId="6FFC347D">
            <w:r>
              <w:rPr>
                <w:lang w:val="en-US" w:eastAsia="zh-CN"/>
              </w:rPr>
              <w:t>高效稳定区</w:t>
            </w:r>
          </w:p>
        </w:tc>
      </w:tr>
      <w:tr w14:paraId="389DF2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39" w:type="pct"/>
            <w:shd w:val="clear" w:color="auto" w:fill="auto"/>
            <w:vAlign w:val="center"/>
          </w:tcPr>
          <w:p w14:paraId="402ECC05">
            <w:r>
              <w:rPr>
                <w:lang w:val="en-US" w:eastAsia="zh-CN"/>
              </w:rPr>
              <w:t>400℃</w:t>
            </w:r>
          </w:p>
        </w:tc>
        <w:tc>
          <w:tcPr>
            <w:tcW w:w="3406" w:type="pct"/>
            <w:shd w:val="clear" w:color="auto" w:fill="auto"/>
            <w:vAlign w:val="center"/>
          </w:tcPr>
          <w:p w14:paraId="7B8EF6A6">
            <w:r>
              <w:rPr>
                <w:lang w:val="en-US" w:eastAsia="zh-CN"/>
              </w:rPr>
              <w:t>高温释放风险区</w:t>
            </w:r>
          </w:p>
        </w:tc>
      </w:tr>
    </w:tbl>
    <w:p w14:paraId="46F0A9D0"/>
    <w:p w14:paraId="30420930">
      <w:pPr>
        <w:rPr>
          <w:rFonts w:hint="default" w:eastAsiaTheme="minorEastAsia"/>
          <w:lang w:val="en-US" w:eastAsia="zh-CN"/>
        </w:rPr>
      </w:pPr>
      <w:r>
        <w:t xml:space="preserve">4. </w:t>
      </w:r>
      <w:r>
        <w:rPr>
          <w:rFonts w:hint="eastAsia"/>
          <w:lang w:val="en-US" w:eastAsia="zh-CN"/>
        </w:rPr>
        <w:t>采用软件算法和</w:t>
      </w:r>
      <w:r>
        <w:t>大陆 NOx 传感器交叉敏感估算 NH₃</w:t>
      </w:r>
      <w:r>
        <w:rPr>
          <w:rFonts w:hint="eastAsia"/>
          <w:lang w:val="en-US" w:eastAsia="zh-CN"/>
        </w:rPr>
        <w:t>监测氨逃逸。</w:t>
      </w:r>
    </w:p>
    <w:p w14:paraId="6C611581">
      <w:r>
        <w:t>你已知大陆 NOx 传感器对 NH₃ 的交叉敏感系数约 0.9~1.0，这可以直接用于工程判断。</w:t>
      </w:r>
    </w:p>
    <w:p w14:paraId="5655434C">
      <w:pPr>
        <w:rPr>
          <w:rFonts w:hint="eastAsia" w:eastAsiaTheme="minorEastAsia"/>
          <w:lang w:eastAsia="zh-CN"/>
        </w:rPr>
      </w:pPr>
      <w:r>
        <w:t>当 NH₃ 估算值超限时</w:t>
      </w:r>
      <w:r>
        <w:rPr>
          <w:rFonts w:hint="eastAsia"/>
          <w:lang w:eastAsia="zh-CN"/>
        </w:rPr>
        <w:t>，</w:t>
      </w:r>
      <w:r>
        <w:t>快速降低禁止 NOx 闭环继续加喷</w:t>
      </w:r>
      <w:r>
        <w:rPr>
          <w:rFonts w:hint="eastAsia"/>
          <w:lang w:eastAsia="zh-CN"/>
        </w:rPr>
        <w:t>。</w:t>
      </w:r>
    </w:p>
    <w:p w14:paraId="26EE1D25"/>
    <w:p w14:paraId="155614B6">
      <w:r>
        <w:t xml:space="preserve">6. </w:t>
      </w:r>
      <w:r>
        <w:rPr>
          <w:rFonts w:hint="eastAsia"/>
          <w:lang w:val="en-US" w:eastAsia="zh-CN"/>
        </w:rPr>
        <w:t>读取发动机ECU实时功率和转速，在负载突变的时候</w:t>
      </w:r>
      <w:r>
        <w:t>降快速限喷</w:t>
      </w:r>
      <w:r>
        <w:rPr>
          <w:rFonts w:hint="eastAsia"/>
          <w:lang w:eastAsia="zh-CN"/>
        </w:rPr>
        <w:t>，</w:t>
      </w:r>
      <w:r>
        <w:t>。因为 NOx 传感器有延迟，不能等下游反馈再减喷。这是现场最有效的防过喷措施之一</w:t>
      </w:r>
    </w:p>
    <w:p w14:paraId="50C8A718"/>
    <w:p w14:paraId="6C3EF83D">
      <w:pPr>
        <w:rPr>
          <w:rFonts w:hint="default" w:eastAsiaTheme="minorEastAsia"/>
          <w:lang w:val="en-US" w:eastAsia="zh-CN"/>
        </w:rPr>
      </w:pPr>
      <w:r>
        <w:t xml:space="preserve">7. </w:t>
      </w:r>
      <w:r>
        <w:rPr>
          <w:rFonts w:hint="eastAsia"/>
          <w:lang w:val="en-US" w:eastAsia="zh-CN"/>
        </w:rPr>
        <w:t>催化剂处理效率标定，软件设计了催化剂处理效率标定，根据标定值使系统工作在催化剂最佳效率状态。也起到检测催化剂老化程度的作用。</w:t>
      </w:r>
    </w:p>
    <w:p w14:paraId="55E6A003"/>
    <w:p w14:paraId="47212DAA">
      <w:pPr>
        <w:jc w:val="left"/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11BD2A"/>
    <w:multiLevelType w:val="singleLevel"/>
    <w:tmpl w:val="B911BD2A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EC5280"/>
    <w:rsid w:val="6909034E"/>
    <w:rsid w:val="73E80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959</Words>
  <Characters>1976</Characters>
  <Lines>0</Lines>
  <Paragraphs>0</Paragraphs>
  <TotalTime>144</TotalTime>
  <ScaleCrop>false</ScaleCrop>
  <LinksUpToDate>false</LinksUpToDate>
  <CharactersWithSpaces>2196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2026-04-30T01:46:00Z</dcterms:created>
  <dc:creator>Administrator</dc:creator>
  <cp:lastModifiedBy>毕亚杰</cp:lastModifiedBy>
  <dcterms:modified xsi:type="dcterms:W3CDTF">2026-05-12T05:36:37Z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eyJoZGlkIjoiZmM4MjA3YmNjYjFkYzgzNDM3MTQ5NmIzOTc4ZmI1YjUiLCJ1c2VySWQiOiI3ODU2NTcxMTEifQ==</vt:lpwstr>
  </property>
  <property fmtid="{D5CDD505-2E9C-101B-9397-08002B2CF9AE}" pid="4" name="ICV">
    <vt:lpwstr>992C189238E64C5EB5FA348E8B5429F2_12</vt:lpwstr>
  </property>
</Properties>
</file>