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Data Migration Brief</w:t>
      </w:r>
    </w:p>
    <w:p>
      <w:pPr>
        <w:pStyle w:val="ToolkitNote"/>
      </w:pPr>
      <w:r>
        <w:t>Structured information. Reliable outputs.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819"/>
          </w:tcPr>
          <w:p>
            <w:r>
              <w:t>PRJ-002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819"/>
          </w:tcPr>
          <w:p>
            <w:r>
              <w:t>Client Success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819"/>
          </w:tcPr>
          <w:p>
            <w:r>
              <w:t>Jordan Lee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19"/>
          </w:tcPr>
          <w:p>
            <w:r>
              <w:t>Attention required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819"/>
          </w:tcPr>
          <w:p>
            <w:r>
              <w:t>2026-09-03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Due</w:t>
            </w:r>
          </w:p>
        </w:tc>
        <w:tc>
          <w:tcPr>
            <w:tcW w:type="dxa" w:w="4819"/>
          </w:tcPr>
          <w:p>
            <w:r>
              <w:t>2026-09-18</w:t>
            </w:r>
          </w:p>
        </w:tc>
      </w:tr>
    </w:tbl>
    <w:p/>
    <w:p>
      <w:pPr>
        <w:pStyle w:val="Heading1"/>
      </w:pPr>
      <w:r>
        <w:t>Summary</w:t>
      </w:r>
    </w:p>
    <w:p>
      <w:r>
        <w:t>Migration preparation for a synthetic customer dataset. The document records scope, validation points and the next actions without exposing any real client data.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Rows received</w:t>
            </w:r>
          </w:p>
        </w:tc>
        <w:tc>
          <w:tcPr>
            <w:tcW w:type="dxa" w:w="4819"/>
          </w:tcPr>
          <w:p>
            <w:r>
              <w:t>18500</w:t>
            </w:r>
          </w:p>
        </w:tc>
      </w:tr>
      <w:tr>
        <w:tc>
          <w:tcPr>
            <w:tcW w:type="dxa" w:w="4819"/>
          </w:tcPr>
          <w:p>
            <w:r>
              <w:t>Duplicates flagged</w:t>
            </w:r>
          </w:p>
        </w:tc>
        <w:tc>
          <w:tcPr>
            <w:tcW w:type="dxa" w:w="4819"/>
          </w:tcPr>
          <w:p>
            <w:r>
              <w:t>312</w:t>
            </w:r>
          </w:p>
        </w:tc>
      </w:tr>
      <w:tr>
        <w:tc>
          <w:tcPr>
            <w:tcW w:type="dxa" w:w="4819"/>
          </w:tcPr>
          <w:p>
            <w:r>
              <w:t>Invalid emails</w:t>
            </w:r>
          </w:p>
        </w:tc>
        <w:tc>
          <w:tcPr>
            <w:tcW w:type="dxa" w:w="4819"/>
          </w:tcPr>
          <w:p>
            <w:r>
              <w:t>47</w:t>
            </w:r>
          </w:p>
        </w:tc>
      </w:tr>
    </w:tbl>
    <w:p>
      <w:pPr>
        <w:pStyle w:val="Heading1"/>
      </w:pPr>
      <w:r>
        <w:t>Risks / open points</w:t>
      </w:r>
    </w:p>
    <w:p>
      <w:pPr>
        <w:pStyle w:val="ListBullet"/>
      </w:pPr>
      <w:r>
        <w:t>Source B contains inconsistent date formats</w:t>
      </w:r>
    </w:p>
    <w:p>
      <w:pPr>
        <w:pStyle w:val="Heading1"/>
      </w:pPr>
      <w:r>
        <w:t>Next steps</w:t>
      </w:r>
    </w:p>
    <w:p>
      <w:pPr>
        <w:pStyle w:val="ListNumber"/>
      </w:pPr>
      <w:r>
        <w:t>Approve mapping rules</w:t>
      </w:r>
    </w:p>
    <w:p>
      <w:pPr>
        <w:pStyle w:val="ListNumber"/>
      </w:pPr>
      <w:r>
        <w:t>Resolve date ambiguity</w:t>
      </w:r>
    </w:p>
    <w:p>
      <w:pPr>
        <w:pStyle w:val="ListNumber"/>
      </w:pPr>
      <w:r>
        <w:t>Run final import rehearsal</w:t>
      </w:r>
    </w:p>
    <w:p>
      <w:pPr>
        <w:pStyle w:val="ToolkitNote"/>
      </w:pPr>
      <w:r>
        <w:t>Generated from structured input. Optional empty sections are omitted automatically.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northstar.example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oolkitLabel"/>
    </w:pPr>
    <w:r>
      <w:t>NORTHSTAR WORKS  |  DOCUMENT AUTOMATION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66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olkitLabel">
    <w:name w:val="Toolkit Label"/>
    <w:rPr>
      <w:rFonts w:ascii="Arial" w:hAnsi="Arial"/>
      <w:b/>
      <w:color w:val="69737D"/>
      <w:sz w:val="17"/>
    </w:rPr>
  </w:style>
  <w:style w:type="paragraph" w:customStyle="1" w:styleId="ToolkitNote">
    <w:name w:val="Toolkit Note"/>
    <w:rPr>
      <w:rFonts w:ascii="Arial" w:hAnsi="Arial"/>
      <w:b w:val="0"/>
      <w:color w:val="6973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