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ether-v0.2-design-spec"/>
    <w:p>
      <w:pPr>
        <w:pStyle w:val="Heading1"/>
      </w:pPr>
      <w:r>
        <w:t xml:space="preserve">AETHER v0.2 — Design Spec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/ RFC ·</w:t>
      </w:r>
      <w:r>
        <w:t xml:space="preserve"> </w:t>
      </w:r>
      <w:r>
        <w:rPr>
          <w:bCs/>
          <w:b/>
        </w:rPr>
        <w:t xml:space="preserve">Targets:</w:t>
      </w:r>
      <w:r>
        <w:t xml:space="preserve"> </w:t>
      </w:r>
      <w:r>
        <w:t xml:space="preserve">the two things reviewers will most likely challenge in v0.1 — (1) what happens when an escrow job goes wrong, and (2) the single-registry point of failure.</w:t>
      </w:r>
    </w:p>
    <w:p>
      <w:pPr>
        <w:pStyle w:val="BodyText"/>
      </w:pPr>
      <w:r>
        <w:t xml:space="preserve">v0.1 shipped discovery, a four-message handshake, Ed25519-signed envelopes, and three settlement models (immediate, escrow, phased). v0.2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 that core wire format. It adds two backward-compatible extensions on top of it. Everything in v0.1 keeps working unchanged; v0.2 fields are optional and ignored by older clients.</w:t>
      </w:r>
    </w:p>
    <w:p>
      <w:r>
        <w:pict>
          <v:rect style="width:0;height:1.5pt" o:hralign="center" o:hrstd="t" o:hr="t"/>
        </w:pict>
      </w:r>
    </w:p>
    <w:bookmarkStart w:id="26" w:name="extension-1-dispute-resolution-escrow"/>
    <w:p>
      <w:pPr>
        <w:pStyle w:val="Heading2"/>
      </w:pPr>
      <w:r>
        <w:t xml:space="preserve">Extension 1 — Dispute Resolution (escrow)</w:t>
      </w:r>
    </w:p>
    <w:bookmarkStart w:id="20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Today</w:t>
      </w:r>
      <w:r>
        <w:t xml:space="preserve"> </w:t>
      </w:r>
      <w:r>
        <w:rPr>
          <w:rStyle w:val="VerbatimChar"/>
        </w:rPr>
        <w:t xml:space="preserve">EscrowSettlement</w:t>
      </w:r>
      <w:r>
        <w:t xml:space="preserve"> </w:t>
      </w:r>
      <w:r>
        <w:t xml:space="preserve">locks funds (</w:t>
      </w:r>
      <w:r>
        <w:rPr>
          <w:rStyle w:val="VerbatimChar"/>
        </w:rPr>
        <w:t xml:space="preserve">lock()</w:t>
      </w:r>
      <w:r>
        <w:t xml:space="preserve">) and releases them to the provider on</w:t>
      </w:r>
      <w:r>
        <w:t xml:space="preserve"> </w:t>
      </w:r>
      <w:r>
        <w:rPr>
          <w:rStyle w:val="VerbatimChar"/>
        </w:rPr>
        <w:t xml:space="preserve">settle()</w:t>
      </w:r>
      <w:r>
        <w:t xml:space="preserve">. That models the happy path. It has no answer for:</w:t>
      </w:r>
      <w:r>
        <w:t xml:space="preserve"> </w:t>
      </w:r>
      <w:r>
        <w:rPr>
          <w:iCs/>
          <w:i/>
        </w:rPr>
        <w:t xml:space="preserve">provider delivers garbage</w:t>
      </w:r>
      <w:r>
        <w:t xml:space="preserve">,</w:t>
      </w:r>
      <w:r>
        <w:t xml:space="preserve"> </w:t>
      </w:r>
      <w:r>
        <w:rPr>
          <w:iCs/>
          <w:i/>
        </w:rPr>
        <w:t xml:space="preserve">provider never delivers</w:t>
      </w:r>
      <w:r>
        <w:t xml:space="preserve">, or</w:t>
      </w:r>
      <w:r>
        <w:t xml:space="preserve"> </w:t>
      </w:r>
      <w:r>
        <w:rPr>
          <w:iCs/>
          <w:i/>
        </w:rPr>
        <w:t xml:space="preserve">requester refuses to accept good work to avoid paying</w:t>
      </w:r>
      <w:r>
        <w:t xml:space="preserve">. Right now the funds just sit locked, or release regardless of quality. Reviewers will hit this immediately.</w:t>
      </w:r>
    </w:p>
    <w:bookmarkEnd w:id="20"/>
    <w:bookmarkStart w:id="21" w:name="design-principle"/>
    <w:p>
      <w:pPr>
        <w:pStyle w:val="Heading3"/>
      </w:pPr>
      <w:r>
        <w:t xml:space="preserve">Design principle</w:t>
      </w:r>
    </w:p>
    <w:p>
      <w:pPr>
        <w:pStyle w:val="FirstParagraph"/>
      </w:pPr>
      <w:r>
        <w:t xml:space="preserve">The protocol should</w:t>
      </w:r>
      <w:r>
        <w:t xml:space="preserve"> </w:t>
      </w:r>
      <w:r>
        <w:rPr>
          <w:bCs/>
          <w:b/>
        </w:rPr>
        <w:t xml:space="preserve">define the messages and the state machine</w:t>
      </w:r>
      <w:r>
        <w:t xml:space="preserve">, but stay dumb about</w:t>
      </w:r>
      <w:r>
        <w:t xml:space="preserve"> </w:t>
      </w:r>
      <w:r>
        <w:rPr>
          <w:iCs/>
          <w:i/>
        </w:rPr>
        <w:t xml:space="preserve">who is right</w:t>
      </w:r>
      <w:r>
        <w:t xml:space="preserve">. Arbitration (the judgment call) is pluggable — the protocol carries the dispute, an arbiter resolves it. This keeps the core neutral and un-opinionated, which is what lets it stay small and adoptable.</w:t>
      </w:r>
    </w:p>
    <w:bookmarkEnd w:id="21"/>
    <w:bookmarkStart w:id="22" w:name="new-message-types"/>
    <w:p>
      <w:pPr>
        <w:pStyle w:val="Heading3"/>
      </w:pPr>
      <w:r>
        <w:t xml:space="preserve">New message types</w:t>
      </w:r>
    </w:p>
    <w:p>
      <w:pPr>
        <w:pStyle w:val="FirstParagraph"/>
      </w:pPr>
      <w:r>
        <w:t xml:space="preserve">Two new signed messages, following the exact pattern of</w:t>
      </w:r>
      <w:r>
        <w:t xml:space="preserve"> </w:t>
      </w:r>
      <w:r>
        <w:rPr>
          <w:rStyle w:val="VerbatimChar"/>
        </w:rPr>
        <w:t xml:space="preserve">SettlementOffer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AcceptanceReceipt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_signable()</w:t>
      </w:r>
      <w:r>
        <w:t xml:space="preserve"> </w:t>
      </w:r>
      <w:r>
        <w:t xml:space="preserve">dict,</w:t>
      </w:r>
      <w:r>
        <w:t xml:space="preserve"> </w:t>
      </w:r>
      <w:r>
        <w:rPr>
          <w:rStyle w:val="VerbatimChar"/>
        </w:rPr>
        <w:t xml:space="preserve">sign()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DisputeClaim      → raised by either party against a locked/delivered escrow envelope</w:t>
      </w:r>
      <w:r>
        <w:br/>
      </w:r>
      <w:r>
        <w:rPr>
          <w:rStyle w:val="VerbatimChar"/>
        </w:rPr>
        <w:t xml:space="preserve">DisputeResolution → issued by the agreed arbiter, releasing funds per its verdict</w:t>
      </w:r>
    </w:p>
    <w:p>
      <w:pPr>
        <w:pStyle w:val="FirstParagraph"/>
      </w:pPr>
      <w:r>
        <w:rPr>
          <w:rStyle w:val="VerbatimChar"/>
          <w:bCs/>
          <w:b/>
        </w:rPr>
        <w:t xml:space="preserve">DisputeClaim</w:t>
      </w:r>
      <w:r>
        <w:t xml:space="preserve"> </w:t>
      </w:r>
      <w:r>
        <w:t xml:space="preserve">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dispute_id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envelope_id</w:t>
      </w:r>
      <w:r>
        <w:t xml:space="preserve"> </w:t>
      </w:r>
      <w:r>
        <w:t xml:space="preserve">(the task under dispute)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claimant</w:t>
      </w:r>
      <w:r>
        <w:t xml:space="preserve"> </w:t>
      </w:r>
      <w:r>
        <w:t xml:space="preserve">(agent id raising it),</w:t>
      </w:r>
      <w:r>
        <w:t xml:space="preserve"> </w:t>
      </w:r>
      <w:r>
        <w:rPr>
          <w:rStyle w:val="VerbatimChar"/>
        </w:rPr>
        <w:t xml:space="preserve">respondent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— enum:</w:t>
      </w:r>
      <w:r>
        <w:t xml:space="preserve"> </w:t>
      </w:r>
      <w:r>
        <w:rPr>
          <w:rStyle w:val="VerbatimChar"/>
        </w:rPr>
        <w:t xml:space="preserve">non_delivery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non_payment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evidence_hash</w:t>
      </w:r>
      <w:r>
        <w:t xml:space="preserve"> </w:t>
      </w:r>
      <w:r>
        <w:t xml:space="preserve">— SHA-256 of an off-protocol evidence blob (logs, output, transcript). Keeps large payloads off the wire while remaining tamper-evident, consistent with the envelope audit-trail approach.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requested_outcome</w:t>
      </w:r>
      <w:r>
        <w:t xml:space="preserve"> </w:t>
      </w:r>
      <w:r>
        <w:t xml:space="preserve">— enum: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</w:t>
      </w:r>
    </w:p>
    <w:p>
      <w:pPr>
        <w:pStyle w:val="BodyText"/>
      </w:pPr>
      <w:r>
        <w:rPr>
          <w:rStyle w:val="VerbatimChar"/>
          <w:bCs/>
          <w:b/>
        </w:rPr>
        <w:t xml:space="preserve">DisputeResolution</w:t>
      </w:r>
      <w:r>
        <w:t xml:space="preserve"> </w:t>
      </w:r>
      <w:r>
        <w:t xml:space="preserve">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dispute_id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envelope_id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(agent id), which must match the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agreed in the offer (see below)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— enum:</w:t>
      </w:r>
      <w:r>
        <w:t xml:space="preserve"> </w:t>
      </w:r>
      <w:r>
        <w:rPr>
          <w:rStyle w:val="VerbatimChar"/>
        </w:rPr>
        <w:t xml:space="preserve">release_to_provider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refund_to_requester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split_bps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, basis points to provider (0–10000); remainder refunds requester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rationale_hash</w:t>
      </w:r>
      <w:r>
        <w:t xml:space="preserve"> </w:t>
      </w:r>
      <w:r>
        <w:t xml:space="preserve">— SHA-256 of the arbiter’s written reasoning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resolved_at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</w:t>
      </w:r>
    </w:p>
    <w:bookmarkEnd w:id="22"/>
    <w:bookmarkStart w:id="23" w:name="agreeing-on-an-arbiter-handshake-change"/>
    <w:p>
      <w:pPr>
        <w:pStyle w:val="Heading3"/>
      </w:pPr>
      <w:r>
        <w:t xml:space="preserve">Agreeing on an arbiter (handshake change)</w:t>
      </w:r>
    </w:p>
    <w:p>
      <w:pPr>
        <w:pStyle w:val="FirstParagraph"/>
      </w:pPr>
      <w:r>
        <w:rPr>
          <w:rStyle w:val="VerbatimChar"/>
        </w:rPr>
        <w:t xml:space="preserve">SettlementOffer</w:t>
      </w:r>
      <w:r>
        <w:t xml:space="preserve"> </w:t>
      </w:r>
      <w:r>
        <w:t xml:space="preserve">gains one optional field: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(agent id) and</w:t>
      </w:r>
      <w:r>
        <w:t xml:space="preserve"> </w:t>
      </w:r>
      <w:r>
        <w:rPr>
          <w:rStyle w:val="VerbatimChar"/>
        </w:rPr>
        <w:t xml:space="preserve">dispute_window_secs</w:t>
      </w:r>
      <w:r>
        <w:t xml:space="preserve"> </w:t>
      </w:r>
      <w:r>
        <w:t xml:space="preserve">(how long after delivery a claim may be raised). Because it’s inside the already-signed offer, both parties cryptographically agree on</w:t>
      </w:r>
      <w:r>
        <w:t xml:space="preserve"> </w:t>
      </w:r>
      <w:r>
        <w:rPr>
          <w:iCs/>
          <w:i/>
        </w:rPr>
        <w:t xml:space="preserve">who judges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how long the window is</w:t>
      </w:r>
      <w:r>
        <w:t xml:space="preserve"> </w:t>
      </w:r>
      <w:r>
        <w:t xml:space="preserve">before any work starts. If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is omitted, the job is</w:t>
      </w:r>
      <w:r>
        <w:t xml:space="preserve"> </w:t>
      </w:r>
      <w:r>
        <w:t xml:space="preserve">“</w:t>
      </w:r>
      <w:r>
        <w:t xml:space="preserve">no-arbitration</w:t>
      </w:r>
      <w:r>
        <w:t xml:space="preserve">”</w:t>
      </w:r>
      <w:r>
        <w:t xml:space="preserve"> </w:t>
      </w:r>
      <w:r>
        <w:t xml:space="preserve">(v0.1 behaviour) and disputes aren’t available — fully backward compatible.</w:t>
      </w:r>
    </w:p>
    <w:bookmarkEnd w:id="23"/>
    <w:bookmarkStart w:id="24" w:name="escrow-state-machine-v0.2"/>
    <w:p>
      <w:pPr>
        <w:pStyle w:val="Heading3"/>
      </w:pPr>
      <w:r>
        <w:t xml:space="preserve">Escrow state machine (v0.2)</w:t>
      </w:r>
    </w:p>
    <w:p>
      <w:pPr>
        <w:pStyle w:val="SourceCode"/>
      </w:pPr>
      <w:r>
        <w:rPr>
          <w:rStyle w:val="VerbatimChar"/>
        </w:rPr>
        <w:t xml:space="preserve">LOCKED ──deliver──▶ DELIVERED ──(window elapses, no claim)──▶ RELEASED</w:t>
      </w:r>
      <w:r>
        <w:br/>
      </w:r>
      <w:r>
        <w:rPr>
          <w:rStyle w:val="VerbatimChar"/>
        </w:rPr>
        <w:t xml:space="preserve">   │                    │</w:t>
      </w:r>
      <w:r>
        <w:br/>
      </w:r>
      <w:r>
        <w:rPr>
          <w:rStyle w:val="VerbatimChar"/>
        </w:rPr>
        <w:t xml:space="preserve">   │                    └──DisputeClaim──▶ DISPUTED ──DisputeResolution──▶ RESOLVED</w:t>
      </w:r>
      <w:r>
        <w:br/>
      </w:r>
      <w:r>
        <w:rPr>
          <w:rStyle w:val="VerbatimChar"/>
        </w:rPr>
        <w:t xml:space="preserve">   └──DisputeClaim (non_delivery, after deadline)──▶ DISPUTED</w:t>
      </w:r>
    </w:p>
    <w:p>
      <w:pPr>
        <w:numPr>
          <w:ilvl w:val="0"/>
          <w:numId w:val="1001"/>
        </w:numPr>
        <w:pStyle w:val="Compact"/>
      </w:pPr>
      <w:r>
        <w:t xml:space="preserve">Funds cannot leave escrow while</w:t>
      </w:r>
      <w:r>
        <w:t xml:space="preserve"> </w:t>
      </w:r>
      <w:r>
        <w:rPr>
          <w:rStyle w:val="VerbatimChar"/>
        </w:rPr>
        <w:t xml:space="preserve">DISPUTED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Only the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named in the signed offer can move</w:t>
      </w:r>
      <w:r>
        <w:t xml:space="preserve"> </w:t>
      </w:r>
      <w:r>
        <w:rPr>
          <w:rStyle w:val="VerbatimChar"/>
        </w:rPr>
        <w:t xml:space="preserve">DISPUTED → RESOLVED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RESOLVED</w:t>
      </w:r>
      <w:r>
        <w:t xml:space="preserve"> </w:t>
      </w:r>
      <w:r>
        <w:t xml:space="preserve">splits locked funds per the verdict via the existing</w:t>
      </w:r>
      <w:r>
        <w:t xml:space="preserve"> </w:t>
      </w:r>
      <w:r>
        <w:rPr>
          <w:rStyle w:val="VerbatimChar"/>
        </w:rPr>
        <w:t xml:space="preserve">Ledger.transfer</w:t>
      </w:r>
      <w:r>
        <w:t xml:space="preserve">.</w:t>
      </w:r>
    </w:p>
    <w:bookmarkEnd w:id="24"/>
    <w:bookmarkStart w:id="25" w:name="code-touch-points"/>
    <w:p>
      <w:pPr>
        <w:pStyle w:val="Heading3"/>
      </w:pPr>
      <w:r>
        <w:t xml:space="preserve">Code touch-points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aether/settlement.py</w:t>
      </w:r>
      <w:r>
        <w:t xml:space="preserve"> </w:t>
      </w:r>
      <w:r>
        <w:t xml:space="preserve">— extend</w:t>
      </w:r>
      <w:r>
        <w:t xml:space="preserve"> </w:t>
      </w:r>
      <w:r>
        <w:rPr>
          <w:rStyle w:val="VerbatimChar"/>
        </w:rPr>
        <w:t xml:space="preserve">EscrowSettlement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open_dispute()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resolve_dispute()</w:t>
      </w:r>
      <w:r>
        <w:t xml:space="preserve">, and explicit state tracking on the escrow record. Reuse</w:t>
      </w:r>
      <w:r>
        <w:t xml:space="preserve"> </w:t>
      </w:r>
      <w:r>
        <w:rPr>
          <w:rStyle w:val="VerbatimChar"/>
        </w:rPr>
        <w:t xml:space="preserve">Ledger.transfer</w:t>
      </w:r>
      <w:r>
        <w:t xml:space="preserve"> </w:t>
      </w:r>
      <w:r>
        <w:t xml:space="preserve">for splits.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aether/handshake.py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dispute_window_secs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SettlementOffer._signable()</w:t>
      </w:r>
      <w:r>
        <w:t xml:space="preserve">/</w:t>
      </w:r>
      <w:r>
        <w:rPr>
          <w:rStyle w:val="VerbatimChar"/>
        </w:rPr>
        <w:t xml:space="preserve">to_dict()</w:t>
      </w:r>
      <w:r>
        <w:t xml:space="preserve">/</w:t>
      </w:r>
      <w:r>
        <w:rPr>
          <w:rStyle w:val="VerbatimChar"/>
        </w:rPr>
        <w:t xml:space="preserve">from_dict()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aether/dispute.py</w:t>
      </w:r>
      <w:r>
        <w:t xml:space="preserve"> </w:t>
      </w:r>
      <w:r>
        <w:t xml:space="preserve">(~80 lines) —</w:t>
      </w:r>
      <w:r>
        <w:t xml:space="preserve"> </w:t>
      </w:r>
      <w:r>
        <w:rPr>
          <w:rStyle w:val="VerbatimChar"/>
        </w:rPr>
        <w:t xml:space="preserve">DisputeClaim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DisputeResolution</w:t>
      </w:r>
      <w:r>
        <w:t xml:space="preserve"> </w:t>
      </w:r>
      <w:r>
        <w:t xml:space="preserve">dataclasses with sign/verify, plus an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protocol (interface) so anyone can plug in a rule (automated check, human, or a third-party agent discovered</w:t>
      </w:r>
      <w:r>
        <w:t xml:space="preserve"> </w:t>
      </w:r>
      <w:r>
        <w:rPr>
          <w:iCs/>
          <w:i/>
        </w:rPr>
        <w:t xml:space="preserve">through AETHER itself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Tests: non-delivery refund, quality split, bad-faith non-payment release, and</w:t>
      </w:r>
      <w:r>
        <w:t xml:space="preserve"> </w:t>
      </w:r>
      <w:r>
        <w:t xml:space="preserve">“</w:t>
      </w:r>
      <w:r>
        <w:t xml:space="preserve">only the agreed arbiter can resolve</w:t>
      </w:r>
      <w:r>
        <w:t xml:space="preserve">”</w:t>
      </w:r>
      <w:r>
        <w:t xml:space="preserve"> </w:t>
      </w:r>
      <w:r>
        <w:t xml:space="preserve">rejection.</w:t>
      </w:r>
    </w:p>
    <w:p>
      <w:pPr>
        <w:pStyle w:val="FirstParagraph"/>
      </w:pPr>
      <w:r>
        <w:t xml:space="preserve">Keeps the zero-dependency, Ed25519-signed, JSON-native constraints intact.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extension-2-registry-federation"/>
    <w:p>
      <w:pPr>
        <w:pStyle w:val="Heading2"/>
      </w:pPr>
      <w:r>
        <w:t xml:space="preserve">Extension 2 — Registry Federation</w:t>
      </w:r>
    </w:p>
    <w:bookmarkStart w:id="27" w:name="the-problem-1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v0.1 runs one registry. That’s a single point of failure and, worse for the pitch, a single point of</w:t>
      </w:r>
      <w:r>
        <w:t xml:space="preserve"> </w:t>
      </w:r>
      <w:r>
        <w:rPr>
          <w:iCs/>
          <w:i/>
        </w:rPr>
        <w:t xml:space="preserve">control</w:t>
      </w:r>
      <w:r>
        <w:t xml:space="preserve"> </w:t>
      </w:r>
      <w:r>
        <w:t xml:space="preserve">— which contradicts</w:t>
      </w:r>
      <w:r>
        <w:t xml:space="preserve"> </w:t>
      </w:r>
      <w:r>
        <w:t xml:space="preserve">“</w:t>
      </w:r>
      <w:r>
        <w:t xml:space="preserve">owned by no single platform.</w:t>
      </w:r>
      <w:r>
        <w:t xml:space="preserve">”</w:t>
      </w:r>
      <w:r>
        <w:t xml:space="preserve"> </w:t>
      </w:r>
      <w:r>
        <w:t xml:space="preserve">Reviewers will ask: what stops this from being just another centralized broker?</w:t>
      </w:r>
    </w:p>
    <w:bookmarkEnd w:id="27"/>
    <w:bookmarkStart w:id="28" w:name="design-principle-1"/>
    <w:p>
      <w:pPr>
        <w:pStyle w:val="Heading3"/>
      </w:pPr>
      <w:r>
        <w:t xml:space="preserve">Design principle</w:t>
      </w:r>
    </w:p>
    <w:p>
      <w:pPr>
        <w:pStyle w:val="FirstParagraph"/>
      </w:pPr>
      <w:r>
        <w:t xml:space="preserve">Manifests are</w:t>
      </w:r>
      <w:r>
        <w:t xml:space="preserve"> </w:t>
      </w:r>
      <w:r>
        <w:rPr>
          <w:bCs/>
          <w:b/>
        </w:rPr>
        <w:t xml:space="preserve">already self-signed</w:t>
      </w:r>
      <w:r>
        <w:t xml:space="preserve">. That’s the key: a manifest’s authenticity does not depend on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registry served it. So registries can freely gossip and mirror each other’s manifests without any trust between them — a client verifies the signature regardless of the source. Federation is therefore mostly a sync + dedup problem, not a consensus problem.</w:t>
      </w:r>
    </w:p>
    <w:bookmarkEnd w:id="28"/>
    <w:bookmarkStart w:id="29" w:name="model-gossip-mirroring-not-consensus"/>
    <w:p>
      <w:pPr>
        <w:pStyle w:val="Heading3"/>
      </w:pPr>
      <w:r>
        <w:t xml:space="preserve">Model: gossip mirroring (not consensus)</w:t>
      </w:r>
    </w:p>
    <w:p>
      <w:pPr>
        <w:pStyle w:val="FirstParagraph"/>
      </w:pPr>
      <w:r>
        <w:t xml:space="preserve">Each registry keeps its own store (existing</w:t>
      </w:r>
      <w:r>
        <w:t xml:space="preserve"> </w:t>
      </w:r>
      <w:r>
        <w:rPr>
          <w:rStyle w:val="VerbatimChar"/>
        </w:rPr>
        <w:t xml:space="preserve">registry_store.py</w:t>
      </w:r>
      <w:r>
        <w:t xml:space="preserve">) and additionally: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Peers</w:t>
      </w:r>
      <w:r>
        <w:t xml:space="preserve"> </w:t>
      </w:r>
      <w:r>
        <w:t xml:space="preserve">— a configured list of peer registry URLs.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Pull sync</w:t>
      </w:r>
      <w:r>
        <w:t xml:space="preserve"> </w:t>
      </w:r>
      <w:r>
        <w:t xml:space="preserve">— periodically</w:t>
      </w:r>
      <w:r>
        <w:t xml:space="preserve"> </w:t>
      </w:r>
      <w:r>
        <w:rPr>
          <w:rStyle w:val="VerbatimChar"/>
        </w:rPr>
        <w:t xml:space="preserve">GET /peer/manifests?since=&lt;ts&gt;</w:t>
      </w:r>
      <w:r>
        <w:t xml:space="preserve"> </w:t>
      </w:r>
      <w:r>
        <w:t xml:space="preserve">from each peer, verify every manifest’s signature, and upsert into the local store.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Dedup by identity</w:t>
      </w:r>
      <w:r>
        <w:t xml:space="preserve"> </w:t>
      </w:r>
      <w:r>
        <w:t xml:space="preserve">— a manifest is keyed by</w:t>
      </w:r>
      <w:r>
        <w:t xml:space="preserve"> </w:t>
      </w:r>
      <w:r>
        <w:rPr>
          <w:rStyle w:val="VerbatimChar"/>
        </w:rPr>
        <w:t xml:space="preserve">agent_id</w:t>
      </w:r>
      <w:r>
        <w:t xml:space="preserve">; the one with the newest signed</w:t>
      </w:r>
      <w:r>
        <w:t xml:space="preserve"> </w:t>
      </w:r>
      <w:r>
        <w:rPr>
          <w:rStyle w:val="VerbatimChar"/>
        </w:rPr>
        <w:t xml:space="preserve">issued_at</w:t>
      </w:r>
      <w:r>
        <w:t xml:space="preserve"> </w:t>
      </w:r>
      <w:r>
        <w:t xml:space="preserve">wins (last-writer-wins on a signed field the agent controls). Prevents a hostile registry from resurrecting stale manifests.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Origin tag</w:t>
      </w:r>
      <w:r>
        <w:t xml:space="preserve"> </w:t>
      </w:r>
      <w:r>
        <w:t xml:space="preserve">— store which peer a manifest came from, for debugging/loop-prevention; never trusted for authenticity.</w:t>
      </w:r>
    </w:p>
    <w:p>
      <w:pPr>
        <w:pStyle w:val="BodyText"/>
      </w:pPr>
      <w:r>
        <w:t xml:space="preserve">No global ordering, no leader, no blockchain. Eventual consistency across the mesh, which is all discovery needs.</w:t>
      </w:r>
    </w:p>
    <w:bookmarkEnd w:id="29"/>
    <w:bookmarkStart w:id="30" w:name="new-endpoints-registryserver.py"/>
    <w:p>
      <w:pPr>
        <w:pStyle w:val="Heading3"/>
      </w:pPr>
      <w:r>
        <w:t xml:space="preserve">New endpoints (registry/server.py)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/peer/manifests?since=&lt;unix_ts&gt;</w:t>
      </w:r>
      <w:r>
        <w:t xml:space="preserve"> </w:t>
      </w:r>
      <w:r>
        <w:t xml:space="preserve">— returns manifests published/updated since a timestamp (for peers to pull). Signed manifests only.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/peer/info</w:t>
      </w:r>
      <w:r>
        <w:t xml:space="preserve"> </w:t>
      </w:r>
      <w:r>
        <w:t xml:space="preserve">— returns this registry’s id + peer list (mesh discovery).</w:t>
      </w:r>
    </w:p>
    <w:p>
      <w:pPr>
        <w:numPr>
          <w:ilvl w:val="0"/>
          <w:numId w:val="1003"/>
        </w:numPr>
        <w:pStyle w:val="Compact"/>
      </w:pPr>
      <w:r>
        <w:t xml:space="preserve">Config:</w:t>
      </w:r>
      <w:r>
        <w:t xml:space="preserve"> </w:t>
      </w:r>
      <w:r>
        <w:rPr>
          <w:rStyle w:val="VerbatimChar"/>
        </w:rPr>
        <w:t xml:space="preserve">AETHER_PEERS</w:t>
      </w:r>
      <w:r>
        <w:t xml:space="preserve"> </w:t>
      </w:r>
      <w:r>
        <w:t xml:space="preserve">env var (comma-separated URLs) + a background sync thread.</w:t>
      </w:r>
    </w:p>
    <w:bookmarkEnd w:id="30"/>
    <w:bookmarkStart w:id="31" w:name="client-change"/>
    <w:p>
      <w:pPr>
        <w:pStyle w:val="Heading3"/>
      </w:pPr>
      <w:r>
        <w:t xml:space="preserve">Client change</w:t>
      </w:r>
    </w:p>
    <w:p>
      <w:pPr>
        <w:pStyle w:val="FirstParagraph"/>
      </w:pPr>
      <w:r>
        <w:rPr>
          <w:rStyle w:val="VerbatimChar"/>
        </w:rPr>
        <w:t xml:space="preserve">RegistryClient</w:t>
      </w:r>
      <w:r>
        <w:t xml:space="preserve"> </w:t>
      </w:r>
      <w:r>
        <w:t xml:space="preserve">gains an optional list of registry URLs;</w:t>
      </w:r>
      <w:r>
        <w:t xml:space="preserve"> </w:t>
      </w:r>
      <w:r>
        <w:rPr>
          <w:rStyle w:val="VerbatimChar"/>
        </w:rPr>
        <w:t xml:space="preserve">discover()</w:t>
      </w:r>
      <w:r>
        <w:t xml:space="preserve"> </w:t>
      </w:r>
      <w:r>
        <w:t xml:space="preserve">queries them in order (or all + merges), dedups by</w:t>
      </w:r>
      <w:r>
        <w:t xml:space="preserve"> </w:t>
      </w:r>
      <w:r>
        <w:rPr>
          <w:rStyle w:val="VerbatimChar"/>
        </w:rPr>
        <w:t xml:space="preserve">agent_id</w:t>
      </w:r>
      <w:r>
        <w:t xml:space="preserve">/newest</w:t>
      </w:r>
      <w:r>
        <w:t xml:space="preserve"> </w:t>
      </w:r>
      <w:r>
        <w:rPr>
          <w:rStyle w:val="VerbatimChar"/>
        </w:rPr>
        <w:t xml:space="preserve">issued_at</w:t>
      </w:r>
      <w:r>
        <w:t xml:space="preserve">, and returns the union. A client is thus never dependent on one registry being up. Single-URL usage (v0.1) is unchanged.</w:t>
      </w:r>
    </w:p>
    <w:bookmarkEnd w:id="31"/>
    <w:bookmarkStart w:id="32" w:name="anti-abuse-kept-minimal"/>
    <w:p>
      <w:pPr>
        <w:pStyle w:val="Heading3"/>
      </w:pPr>
      <w:r>
        <w:t xml:space="preserve">Anti-abuse (kept minimal)</w:t>
      </w:r>
    </w:p>
    <w:p>
      <w:pPr>
        <w:numPr>
          <w:ilvl w:val="0"/>
          <w:numId w:val="1004"/>
        </w:numPr>
        <w:pStyle w:val="Compact"/>
      </w:pPr>
      <w:r>
        <w:t xml:space="preserve">Reject manifests whose signature doesn’t verify (already the case).</w:t>
      </w:r>
    </w:p>
    <w:p>
      <w:pPr>
        <w:numPr>
          <w:ilvl w:val="0"/>
          <w:numId w:val="1004"/>
        </w:numPr>
        <w:pStyle w:val="Compact"/>
      </w:pPr>
      <w:r>
        <w:t xml:space="preserve">Reject manifests with</w:t>
      </w:r>
      <w:r>
        <w:t xml:space="preserve"> </w:t>
      </w:r>
      <w:r>
        <w:rPr>
          <w:rStyle w:val="VerbatimChar"/>
        </w:rPr>
        <w:t xml:space="preserve">issued_at</w:t>
      </w:r>
      <w:r>
        <w:t xml:space="preserve"> </w:t>
      </w:r>
      <w:r>
        <w:t xml:space="preserve">in the future beyond a small skew.</w:t>
      </w:r>
    </w:p>
    <w:p>
      <w:pPr>
        <w:numPr>
          <w:ilvl w:val="0"/>
          <w:numId w:val="1004"/>
        </w:numPr>
        <w:pStyle w:val="Compact"/>
      </w:pPr>
      <w:r>
        <w:t xml:space="preserve">Rate-limit peer pulls. Reputation remains local/advisory in v0.2 — cross-registry reputation is explicitly deferred to v0.3 (it’s the genuinely hard, game-able part and shouldn’t be rushed).</w:t>
      </w:r>
    </w:p>
    <w:bookmarkEnd w:id="32"/>
    <w:bookmarkStart w:id="33" w:name="code-touch-points-1"/>
    <w:p>
      <w:pPr>
        <w:pStyle w:val="Heading3"/>
      </w:pPr>
      <w:r>
        <w:t xml:space="preserve">Code touch-points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aether/registry_store.py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updated_since(ts)</w:t>
      </w:r>
      <w:r>
        <w:t xml:space="preserve"> </w:t>
      </w:r>
      <w:r>
        <w:t xml:space="preserve">query and last-writer-wins upsert keyed on signed</w:t>
      </w:r>
      <w:r>
        <w:t xml:space="preserve"> </w:t>
      </w:r>
      <w:r>
        <w:rPr>
          <w:rStyle w:val="VerbatimChar"/>
        </w:rPr>
        <w:t xml:space="preserve">issued_at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registry/server.py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/peer/manifests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/peer/info</w:t>
      </w:r>
      <w:r>
        <w:t xml:space="preserve">, and a background pull-sync loop reading</w:t>
      </w:r>
      <w:r>
        <w:t xml:space="preserve"> </w:t>
      </w:r>
      <w:r>
        <w:rPr>
          <w:rStyle w:val="VerbatimChar"/>
        </w:rPr>
        <w:t xml:space="preserve">AETHER_PEERS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aether/registry_client.py</w:t>
      </w:r>
      <w:r>
        <w:t xml:space="preserve"> </w:t>
      </w:r>
      <w:r>
        <w:t xml:space="preserve">— multi-URL discovery with merge + dedup.</w:t>
      </w:r>
    </w:p>
    <w:p>
      <w:pPr>
        <w:numPr>
          <w:ilvl w:val="0"/>
          <w:numId w:val="1005"/>
        </w:numPr>
        <w:pStyle w:val="Compact"/>
      </w:pPr>
      <w:r>
        <w:t xml:space="preserve">Tests: two in-process registries, publish to A, assert B mirrors it after a sync; stale-manifest rejection; signature-fail rejection on pull.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what-v0.2-deliberately-does-not-do"/>
    <w:p>
      <w:pPr>
        <w:pStyle w:val="Heading2"/>
      </w:pPr>
      <w:r>
        <w:t xml:space="preserve">What v0.2 deliberately does NOT 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Cross-registry reputation</w:t>
      </w:r>
      <w:r>
        <w:t xml:space="preserve"> </w:t>
      </w:r>
      <w:r>
        <w:t xml:space="preserve">— deferred to v0.3. Local reputation stays advisory. (Reputation gaming is a whole problem; don’t half-solve it.)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On-chain / real-money settlement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Ledger</w:t>
      </w:r>
      <w:r>
        <w:t xml:space="preserve"> </w:t>
      </w:r>
      <w:r>
        <w:t xml:space="preserve">stays an abstract accounting interface. Bridging to real rails is an adapter concern, not core protocol.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Automated arbitration logic</w:t>
      </w:r>
      <w:r>
        <w:t xml:space="preserve"> </w:t>
      </w:r>
      <w:r>
        <w:t xml:space="preserve">— the protocol defines dispute</w:t>
      </w:r>
      <w:r>
        <w:t xml:space="preserve"> </w:t>
      </w:r>
      <w:r>
        <w:rPr>
          <w:iCs/>
          <w:i/>
        </w:rPr>
        <w:t xml:space="preserve">messages and state</w:t>
      </w:r>
      <w:r>
        <w:t xml:space="preserve">, not verdicts. Arbiters are pluggable.</w:t>
      </w:r>
    </w:p>
    <w:bookmarkEnd w:id="35"/>
    <w:bookmarkStart w:id="36" w:name="rollout"/>
    <w:p>
      <w:pPr>
        <w:pStyle w:val="Heading2"/>
      </w:pPr>
      <w:r>
        <w:t xml:space="preserve">Rollout</w:t>
      </w:r>
    </w:p>
    <w:p>
      <w:pPr>
        <w:numPr>
          <w:ilvl w:val="0"/>
          <w:numId w:val="1007"/>
        </w:numPr>
        <w:pStyle w:val="Compact"/>
      </w:pPr>
      <w:r>
        <w:t xml:space="preserve">Land Extension 1 (dispute) first — it’s self-contained and answers the most common escrow objection.</w:t>
      </w:r>
    </w:p>
    <w:p>
      <w:pPr>
        <w:numPr>
          <w:ilvl w:val="0"/>
          <w:numId w:val="1007"/>
        </w:numPr>
        <w:pStyle w:val="Compact"/>
      </w:pPr>
      <w:r>
        <w:t xml:space="preserve">Land Extension 2 (federation) second — stand up a second registry instance and demo A↔B mirroring live.</w:t>
      </w:r>
    </w:p>
    <w:p>
      <w:pPr>
        <w:numPr>
          <w:ilvl w:val="0"/>
          <w:numId w:val="1007"/>
        </w:numPr>
        <w:pStyle w:val="Compact"/>
      </w:pPr>
      <w:r>
        <w:t xml:space="preserve">Tag</w:t>
      </w:r>
      <w:r>
        <w:t xml:space="preserve"> </w:t>
      </w:r>
      <w:r>
        <w:rPr>
          <w:rStyle w:val="VerbatimChar"/>
        </w:rPr>
        <w:t xml:space="preserve">v0.2.0</w:t>
      </w:r>
      <w:r>
        <w:t xml:space="preserve">, update README + landing page (</w:t>
      </w:r>
      <w:r>
        <w:t xml:space="preserve">“</w:t>
      </w:r>
      <w:r>
        <w:t xml:space="preserve">federated, dispute-aware</w:t>
      </w:r>
      <w:r>
        <w:t xml:space="preserve">”</w:t>
      </w:r>
      <w:r>
        <w:t xml:space="preserve">), and write a short</w:t>
      </w:r>
      <w:r>
        <w:t xml:space="preserve"> </w:t>
      </w:r>
      <w:r>
        <w:t xml:space="preserve">“</w:t>
      </w:r>
      <w:r>
        <w:t xml:space="preserve">what’s new</w:t>
      </w:r>
      <w:r>
        <w:t xml:space="preserve">”</w:t>
      </w:r>
      <w:r>
        <w:t xml:space="preserve"> </w:t>
      </w:r>
      <w:r>
        <w:t xml:space="preserve">note to reply to launch feedback with.</w:t>
      </w:r>
    </w:p>
    <w:p>
      <w:pPr>
        <w:pStyle w:val="FirstParagraph"/>
      </w:pPr>
      <w:r>
        <w:t xml:space="preserve">Both extensions are additive and backward-compatible: a v0.1 agent and a v0.2 agent can still transact on the v0.1 happy path.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2026-09-01T01:08:51Z</dcterms:created>
  <dcterms:modified xsi:type="dcterms:W3CDTF">2026-09-01T01:08:51Z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