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Conceptual Site &amp; Design Brief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r>
        <w:drawing>
          <wp:inline xmlns:a="http://schemas.openxmlformats.org/drawingml/2006/main" xmlns:pic="http://schemas.openxmlformats.org/drawingml/2006/picture">
            <wp:extent cx="5577840" cy="4001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Illustrative_Masterplan_Moodboard_Cro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0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image above is an AI-generated visual-direction crop only. It is not a surveyed plan and does not show verified boundaries, scale, setbacks, access, utilities, ecological constraints or buildable area.</w:t>
      </w:r>
    </w:p>
    <w:p>
      <w:pPr>
        <w:pStyle w:val="Heading1"/>
      </w:pPr>
      <w:r>
        <w:t>Design intent</w:t>
      </w:r>
    </w:p>
    <w:p>
      <w:r>
        <w:t>Create a low-density, landscape-led destination that feels rooted in Laikipia while remaining operationally efficient. Use local climate and material research, passive cooling/shading, water-sensitive landscape design, robust maintenance choices and clear separation of guest, service and staff circulation.</w:t>
      </w:r>
    </w:p>
    <w:p>
      <w:pPr>
        <w:pStyle w:val="Heading1"/>
      </w:pPr>
      <w:r>
        <w:t>Functional zones to test</w:t>
      </w:r>
    </w:p>
    <w:p>
      <w:pPr>
        <w:pStyle w:val="ListBullet"/>
      </w:pPr>
      <w:r>
        <w:t>Arrival, reception and discreet parking/drop-off.</w:t>
      </w:r>
    </w:p>
    <w:p>
      <w:pPr>
        <w:pStyle w:val="ListBullet"/>
      </w:pPr>
      <w:r>
        <w:t>12–15 accommodation units arranged for privacy, views and service access.</w:t>
      </w:r>
    </w:p>
    <w:p>
      <w:pPr>
        <w:pStyle w:val="ListBullet"/>
      </w:pPr>
      <w:r>
        <w:t>Restaurant/lounge and outdoor dining linked to kitchen, stores and deliveries.</w:t>
      </w:r>
    </w:p>
    <w:p>
      <w:pPr>
        <w:pStyle w:val="ListBullet"/>
      </w:pPr>
      <w:r>
        <w:t>Farm/garden areas supporting guest experiences and realistic food production.</w:t>
      </w:r>
    </w:p>
    <w:p>
      <w:pPr>
        <w:pStyle w:val="ListBullet"/>
      </w:pPr>
      <w:r>
        <w:t>Shared experience spaces, wellness/quiet areas and trails where safe and permitted.</w:t>
      </w:r>
    </w:p>
    <w:p>
      <w:pPr>
        <w:pStyle w:val="ListBullet"/>
      </w:pPr>
      <w:r>
        <w:t>Staff facilities, stores, laundry, plant, waste and maintenance areas.</w:t>
      </w:r>
    </w:p>
    <w:p>
      <w:pPr>
        <w:pStyle w:val="ListBullet"/>
      </w:pPr>
      <w:r>
        <w:t>Water storage, wastewater treatment, fire access, backup power and other essential infrastructure.</w:t>
      </w:r>
    </w:p>
    <w:p>
      <w:pPr>
        <w:pStyle w:val="ListBullet"/>
      </w:pPr>
      <w:r>
        <w:t>Landscape buffers, drainage routes, conservation/setback areas and future expansion capacity.</w:t>
      </w:r>
    </w:p>
    <w:p>
      <w:pPr>
        <w:pStyle w:val="Heading1"/>
      </w:pPr>
      <w:r>
        <w:t>Required professional inputs</w:t>
      </w:r>
    </w:p>
    <w:p>
      <w:pPr>
        <w:pStyle w:val="ListBullet"/>
      </w:pPr>
      <w:r>
        <w:t>Registered surveyor: title boundaries, levels, access and constraints.</w:t>
      </w:r>
    </w:p>
    <w:p>
      <w:pPr>
        <w:pStyle w:val="ListBullet"/>
      </w:pPr>
      <w:r>
        <w:t>Architect and engineers: concept/site plan, code compliance and buildable area.</w:t>
      </w:r>
    </w:p>
    <w:p>
      <w:pPr>
        <w:pStyle w:val="ListBullet"/>
      </w:pPr>
      <w:r>
        <w:t>Quantity surveyor: elemental cost plan, inflation, preliminaries, exclusions and contingency.</w:t>
      </w:r>
    </w:p>
    <w:p>
      <w:pPr>
        <w:pStyle w:val="ListBullet"/>
      </w:pPr>
      <w:r>
        <w:t>Environmental specialist: screening and required assessment; biodiversity and water considerations.</w:t>
      </w:r>
    </w:p>
    <w:p>
      <w:pPr>
        <w:pStyle w:val="ListBullet"/>
      </w:pPr>
      <w:r>
        <w:t>Operator/market specialist: unit mix, service model, operational adjacencies and guest journey.</w:t>
      </w:r>
    </w:p>
    <w:p>
      <w:pPr>
        <w:pStyle w:val="Heading1"/>
      </w:pPr>
      <w:r>
        <w:t>Decision gates</w:t>
      </w:r>
    </w:p>
    <w:p>
      <w:pPr>
        <w:pStyle w:val="ListBullet"/>
      </w:pPr>
      <w:r>
        <w:t>Gate 1: title/access and acquisition economics are acceptable.</w:t>
      </w:r>
    </w:p>
    <w:p>
      <w:pPr>
        <w:pStyle w:val="ListBullet"/>
      </w:pPr>
      <w:r>
        <w:t>Gate 2: planning and environmental pathway is viable.</w:t>
      </w:r>
    </w:p>
    <w:p>
      <w:pPr>
        <w:pStyle w:val="ListBullet"/>
      </w:pPr>
      <w:r>
        <w:t>Gate 3: 12-unit base case fits the US$2.4m funding envelope with contingency and working capital.</w:t>
      </w:r>
    </w:p>
    <w:p>
      <w:pPr>
        <w:pStyle w:val="ListBullet"/>
      </w:pPr>
      <w:r>
        <w:t>Gate 4: 15-unit alternative and phased option compared on risk-adjusted cash flow.</w:t>
      </w:r>
    </w:p>
    <w:p>
      <w:pPr>
        <w:pStyle w:val="ListBullet"/>
      </w:pPr>
      <w:r>
        <w:t>Gate 5: design freeze and contractor procurement only after funding and approvals are sufficiently secure.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