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F35"/>
          <w:sz w:val="22"/>
        </w:rPr>
        <w:t>JONIK NDOVU FARM</w:t>
      </w:r>
    </w:p>
    <w:p>
      <w:pPr>
        <w:jc w:val="center"/>
      </w:pPr>
      <w:r>
        <w:rPr>
          <w:b/>
          <w:color w:val="153F35"/>
          <w:sz w:val="48"/>
        </w:rPr>
        <w:t>Investor Data-Room Index</w:t>
      </w:r>
    </w:p>
    <w:p>
      <w:pPr>
        <w:jc w:val="center"/>
      </w:pPr>
      <w:r>
        <w:rPr>
          <w:color w:val="B78A4A"/>
          <w:sz w:val="16"/>
        </w:rPr>
        <w:t>VERSION 3.0  |  INVESTOR WORKING DRAFT  |  OCTOBER 2026</w:t>
      </w:r>
    </w:p>
    <w:p/>
    <w:p>
      <w:pPr>
        <w:pStyle w:val="Heading2"/>
      </w:pPr>
      <w:r>
        <w:t>A. Corporate and ownership</w:t>
      </w:r>
    </w:p>
    <w:p>
      <w:pPr>
        <w:pStyle w:val="ListBullet"/>
      </w:pPr>
      <w:r>
        <w:t>Company registration and constitutional documents</w:t>
      </w:r>
    </w:p>
    <w:p>
      <w:pPr>
        <w:pStyle w:val="ListBullet"/>
      </w:pPr>
      <w:r>
        <w:t>Shareholder register and beneficial ownership</w:t>
      </w:r>
    </w:p>
    <w:p>
      <w:pPr>
        <w:pStyle w:val="ListBullet"/>
      </w:pPr>
      <w:r>
        <w:t>Director/management profiles and IDs through secure channel</w:t>
      </w:r>
    </w:p>
    <w:p>
      <w:pPr>
        <w:pStyle w:val="ListBullet"/>
      </w:pPr>
      <w:r>
        <w:t>Tax registration and compliance evidence</w:t>
      </w:r>
    </w:p>
    <w:p>
      <w:pPr>
        <w:pStyle w:val="ListBullet"/>
      </w:pPr>
      <w:r>
        <w:t>Existing land title, search, survey, rates/rent records and encumbrances</w:t>
      </w:r>
    </w:p>
    <w:p>
      <w:pPr>
        <w:pStyle w:val="Heading2"/>
      </w:pPr>
      <w:r>
        <w:t>B. Land acquisition</w:t>
      </w:r>
    </w:p>
    <w:p>
      <w:pPr>
        <w:pStyle w:val="ListBullet"/>
      </w:pPr>
      <w:r>
        <w:t>Seller/agent details and authority</w:t>
      </w:r>
    </w:p>
    <w:p>
      <w:pPr>
        <w:pStyle w:val="ListBullet"/>
      </w:pPr>
      <w:r>
        <w:t>Written offer/price and proposed terms</w:t>
      </w:r>
    </w:p>
    <w:p>
      <w:pPr>
        <w:pStyle w:val="ListBullet"/>
      </w:pPr>
      <w:r>
        <w:t>Title and encumbrance search</w:t>
      </w:r>
    </w:p>
    <w:p>
      <w:pPr>
        <w:pStyle w:val="ListBullet"/>
      </w:pPr>
      <w:r>
        <w:t>Boundary/access/easement verification</w:t>
      </w:r>
    </w:p>
    <w:p>
      <w:pPr>
        <w:pStyle w:val="ListBullet"/>
      </w:pPr>
      <w:r>
        <w:t>Conditions precedent, payment schedule and transfer costs</w:t>
      </w:r>
    </w:p>
    <w:p>
      <w:pPr>
        <w:pStyle w:val="Heading2"/>
      </w:pPr>
      <w:r>
        <w:t>C. Technical and site</w:t>
      </w:r>
    </w:p>
    <w:p>
      <w:pPr>
        <w:pStyle w:val="ListBullet"/>
      </w:pPr>
      <w:r>
        <w:t>Topographical/boundary survey</w:t>
      </w:r>
    </w:p>
    <w:p>
      <w:pPr>
        <w:pStyle w:val="ListBullet"/>
      </w:pPr>
      <w:r>
        <w:t>Geotechnical and soil report if commissioned</w:t>
      </w:r>
    </w:p>
    <w:p>
      <w:pPr>
        <w:pStyle w:val="ListBullet"/>
      </w:pPr>
      <w:r>
        <w:t>Water availability, abstraction rights and storage plan</w:t>
      </w:r>
    </w:p>
    <w:p>
      <w:pPr>
        <w:pStyle w:val="ListBullet"/>
      </w:pPr>
      <w:r>
        <w:t>Power/energy and backup plan</w:t>
      </w:r>
    </w:p>
    <w:p>
      <w:pPr>
        <w:pStyle w:val="ListBullet"/>
      </w:pPr>
      <w:r>
        <w:t>Access roads, drainage, wastewater and waste plan</w:t>
      </w:r>
    </w:p>
    <w:p>
      <w:pPr>
        <w:pStyle w:val="ListBullet"/>
      </w:pPr>
      <w:r>
        <w:t>Fire/emergency and security plan</w:t>
      </w:r>
    </w:p>
    <w:p>
      <w:pPr>
        <w:pStyle w:val="Heading2"/>
      </w:pPr>
      <w:r>
        <w:t>D. Planning and environmental</w:t>
      </w:r>
    </w:p>
    <w:p>
      <w:pPr>
        <w:pStyle w:val="ListBullet"/>
      </w:pPr>
      <w:r>
        <w:t>Land-use/planning confirmation</w:t>
      </w:r>
    </w:p>
    <w:p>
      <w:pPr>
        <w:pStyle w:val="ListBullet"/>
      </w:pPr>
      <w:r>
        <w:t>Approvals register and responsibility matrix</w:t>
      </w:r>
    </w:p>
    <w:p>
      <w:pPr>
        <w:pStyle w:val="ListBullet"/>
      </w:pPr>
      <w:r>
        <w:t>Environmental and social screening/assessment</w:t>
      </w:r>
    </w:p>
    <w:p>
      <w:pPr>
        <w:pStyle w:val="ListBullet"/>
      </w:pPr>
      <w:r>
        <w:t>Biodiversity/wildlife interface assessment where relevant</w:t>
      </w:r>
    </w:p>
    <w:p>
      <w:pPr>
        <w:pStyle w:val="ListBullet"/>
      </w:pPr>
      <w:r>
        <w:t>Building and tourism/food-service licensing pathway</w:t>
      </w:r>
    </w:p>
    <w:p>
      <w:pPr>
        <w:pStyle w:val="Heading2"/>
      </w:pPr>
      <w:r>
        <w:t>E. Market and operations</w:t>
      </w:r>
    </w:p>
    <w:p>
      <w:pPr>
        <w:pStyle w:val="ListBullet"/>
      </w:pPr>
      <w:r>
        <w:t>Market study and competitor set</w:t>
      </w:r>
    </w:p>
    <w:p>
      <w:pPr>
        <w:pStyle w:val="ListBullet"/>
      </w:pPr>
      <w:r>
        <w:t>Customer segments and seasonality</w:t>
      </w:r>
    </w:p>
    <w:p>
      <w:pPr>
        <w:pStyle w:val="ListBullet"/>
      </w:pPr>
      <w:r>
        <w:t>Rate/occupancy evidence and booking channel plan</w:t>
      </w:r>
    </w:p>
    <w:p>
      <w:pPr>
        <w:pStyle w:val="ListBullet"/>
      </w:pPr>
      <w:r>
        <w:t>Operator/manager proposals and draft heads of terms</w:t>
      </w:r>
    </w:p>
    <w:p>
      <w:pPr>
        <w:pStyle w:val="ListBullet"/>
      </w:pPr>
      <w:r>
        <w:t>Staffing model, procurement and service standards</w:t>
      </w:r>
    </w:p>
    <w:p>
      <w:pPr>
        <w:pStyle w:val="Heading2"/>
      </w:pPr>
      <w:r>
        <w:t>F. Design and cost</w:t>
      </w:r>
    </w:p>
    <w:p>
      <w:pPr>
        <w:pStyle w:val="ListBullet"/>
      </w:pPr>
      <w:r>
        <w:t>Architect brief and concept drawings</w:t>
      </w:r>
    </w:p>
    <w:p>
      <w:pPr>
        <w:pStyle w:val="ListBullet"/>
      </w:pPr>
      <w:r>
        <w:t>Site plan clearly labelled conceptual until surveyed</w:t>
      </w:r>
    </w:p>
    <w:p>
      <w:pPr>
        <w:pStyle w:val="ListBullet"/>
      </w:pPr>
      <w:r>
        <w:t>Unit mix and accommodation schedule (12–15 range)</w:t>
      </w:r>
    </w:p>
    <w:p>
      <w:pPr>
        <w:pStyle w:val="ListBullet"/>
      </w:pPr>
      <w:r>
        <w:t>QS cost plan with assumptions, exclusions and contingencies</w:t>
      </w:r>
    </w:p>
    <w:p>
      <w:pPr>
        <w:pStyle w:val="ListBullet"/>
      </w:pPr>
      <w:r>
        <w:t>Procurement and construction programme</w:t>
      </w:r>
    </w:p>
    <w:p>
      <w:pPr>
        <w:pStyle w:val="ListBullet"/>
      </w:pPr>
      <w:r>
        <w:t>FF&amp;E, IT, transport and pre-opening budgets</w:t>
      </w:r>
    </w:p>
    <w:p>
      <w:pPr>
        <w:pStyle w:val="Heading2"/>
      </w:pPr>
      <w:r>
        <w:t>G. Financial and investment</w:t>
      </w:r>
    </w:p>
    <w:p>
      <w:pPr>
        <w:pStyle w:val="ListBullet"/>
      </w:pPr>
      <w:r>
        <w:t>Integrated 10-year model with formula checks</w:t>
      </w:r>
    </w:p>
    <w:p>
      <w:pPr>
        <w:pStyle w:val="ListBullet"/>
      </w:pPr>
      <w:r>
        <w:t>Base/upside/downside scenarios</w:t>
      </w:r>
    </w:p>
    <w:p>
      <w:pPr>
        <w:pStyle w:val="ListBullet"/>
      </w:pPr>
      <w:r>
        <w:t>Sources and uses reconciliation to US$2.4m</w:t>
      </w:r>
    </w:p>
    <w:p>
      <w:pPr>
        <w:pStyle w:val="ListBullet"/>
      </w:pPr>
      <w:r>
        <w:t>Tax/VAT and financing assumptions reviewed by advisers</w:t>
      </w:r>
    </w:p>
    <w:p>
      <w:pPr>
        <w:pStyle w:val="ListBullet"/>
      </w:pPr>
      <w:r>
        <w:t>Capital structure, valuation and term-sheet drafts</w:t>
      </w:r>
    </w:p>
    <w:p>
      <w:pPr>
        <w:pStyle w:val="ListBullet"/>
      </w:pPr>
      <w:r>
        <w:t>Sensitivity analysis and funding-gap assessment</w:t>
      </w:r>
    </w:p>
    <w:p>
      <w:pPr>
        <w:pStyle w:val="Heading2"/>
      </w:pPr>
      <w:r>
        <w:t>H. Impact and stakeholder engagement</w:t>
      </w:r>
    </w:p>
    <w:p>
      <w:pPr>
        <w:pStyle w:val="ListBullet"/>
      </w:pPr>
      <w:r>
        <w:t>Local hiring and procurement plan</w:t>
      </w:r>
    </w:p>
    <w:p>
      <w:pPr>
        <w:pStyle w:val="ListBullet"/>
      </w:pPr>
      <w:r>
        <w:t>Community engagement record and consent where needed</w:t>
      </w:r>
    </w:p>
    <w:p>
      <w:pPr>
        <w:pStyle w:val="ListBullet"/>
      </w:pPr>
      <w:r>
        <w:t>Water, energy, waste and biodiversity targets</w:t>
      </w:r>
    </w:p>
    <w:p>
      <w:pPr>
        <w:pStyle w:val="ListBullet"/>
      </w:pPr>
      <w:r>
        <w:t>Monitoring and reporting framework</w:t>
      </w:r>
    </w:p>
    <w:p>
      <w:pPr>
        <w:pStyle w:val="Heading2"/>
      </w:pPr>
      <w:r>
        <w:t>I. Transaction and investor process</w:t>
      </w:r>
    </w:p>
    <w:p>
      <w:pPr>
        <w:pStyle w:val="ListBullet"/>
      </w:pPr>
      <w:r>
        <w:t>NDA template</w:t>
      </w:r>
    </w:p>
    <w:p>
      <w:pPr>
        <w:pStyle w:val="ListBullet"/>
      </w:pPr>
      <w:r>
        <w:t>Investor presentation and teaser</w:t>
      </w:r>
    </w:p>
    <w:p>
      <w:pPr>
        <w:pStyle w:val="ListBullet"/>
      </w:pPr>
      <w:r>
        <w:t>Investor Q&amp;A log</w:t>
      </w:r>
    </w:p>
    <w:p>
      <w:pPr>
        <w:pStyle w:val="ListBullet"/>
      </w:pPr>
      <w:r>
        <w:t>Diligence request list and response log</w:t>
      </w:r>
    </w:p>
    <w:p>
      <w:pPr>
        <w:pStyle w:val="ListBullet"/>
      </w:pPr>
      <w:r>
        <w:t>Term sheet and definitive agreements when applicable</w:t>
      </w:r>
    </w:p>
    <w:p>
      <w:r>
        <w:t>Status codes recommended: Not started / Requested / In preparation / Draft / Verified / Shared under NDA. Assign an owner, date, version and access permission to each file. Never upload identity, banking or other sensitive information to a broadly accessible data room.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6D"/>
        <w:sz w:val="16"/>
      </w:rPr>
      <w:t>CONFIDENTIAL WORKING DRAFT • Subject to verification, feasibility and professional due diligence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8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