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F35"/>
          <w:sz w:val="22"/>
        </w:rPr>
        <w:t>JONIK NDOVU FARM</w:t>
      </w:r>
    </w:p>
    <w:p>
      <w:pPr>
        <w:jc w:val="center"/>
      </w:pPr>
      <w:r>
        <w:rPr>
          <w:b/>
          <w:color w:val="153F35"/>
          <w:sz w:val="48"/>
        </w:rPr>
        <w:t>Investor FAQ</w:t>
      </w:r>
    </w:p>
    <w:p>
      <w:pPr>
        <w:jc w:val="center"/>
      </w:pPr>
      <w:r>
        <w:rPr>
          <w:color w:val="B78A4A"/>
          <w:sz w:val="16"/>
        </w:rPr>
        <w:t>VERSION 3.0  |  INVESTOR WORKING DRAFT  |  OCTOBER 2026</w:t>
      </w:r>
    </w:p>
    <w:p/>
    <w:p>
      <w:pPr>
        <w:pStyle w:val="Heading2"/>
      </w:pPr>
      <w:r>
        <w:t>What is the capital requirement?</w:t>
      </w:r>
    </w:p>
    <w:p>
      <w:r>
        <w:t>US$2.4 million in total, inclusive of acquisition of the additional approximately 7 hectares. The cost allocation is to be validated.</w:t>
      </w:r>
    </w:p>
    <w:p>
      <w:pPr>
        <w:pStyle w:val="Heading2"/>
      </w:pPr>
      <w:r>
        <w:t>How many accommodation units are planned?</w:t>
      </w:r>
    </w:p>
    <w:p>
      <w:r>
        <w:t>The current developer-surveyed range is 12–15 units. The earlier 24-unit figure was erroneous and is superseded.</w:t>
      </w:r>
    </w:p>
    <w:p>
      <w:pPr>
        <w:pStyle w:val="Heading2"/>
      </w:pPr>
      <w:r>
        <w:t>How much land is owned today?</w:t>
      </w:r>
    </w:p>
    <w:p>
      <w:r>
        <w:t>The project brief states 8 hectares are owned. This must be confirmed through title and legal diligence.</w:t>
      </w:r>
    </w:p>
    <w:p>
      <w:pPr>
        <w:pStyle w:val="Heading2"/>
      </w:pPr>
      <w:r>
        <w:t>Is the additional land secured?</w:t>
      </w:r>
    </w:p>
    <w:p>
      <w:r>
        <w:t>It is a proposed acquisition of approximately 7 hectares. Price, title, access and acquisition conditions must be verified; it should not be described as owned.</w:t>
      </w:r>
    </w:p>
    <w:p>
      <w:pPr>
        <w:pStyle w:val="Heading2"/>
      </w:pPr>
      <w:r>
        <w:t>What is the location?</w:t>
      </w:r>
    </w:p>
    <w:p>
      <w:r>
        <w:t>Segera, Laikipia County, Kenya. Site-specific access, views, wildlife proximity and other setting claims must be confirmed.</w:t>
      </w:r>
    </w:p>
    <w:p>
      <w:pPr>
        <w:pStyle w:val="Heading2"/>
      </w:pPr>
      <w:r>
        <w:t>What are forecast returns?</w:t>
      </w:r>
    </w:p>
    <w:p>
      <w:r>
        <w:t>No investor-grade return should be stated until the integrated model has verified assumptions, QS costs, tax and funding structure. Illustrative outputs are not guarantees.</w:t>
      </w:r>
    </w:p>
    <w:p>
      <w:pPr>
        <w:pStyle w:val="Heading2"/>
      </w:pPr>
      <w:r>
        <w:t>Will the development be phased?</w:t>
      </w:r>
    </w:p>
    <w:p>
      <w:r>
        <w:t>Both phased and full-build options should be modelled and compared before a final recommendation.</w:t>
      </w:r>
    </w:p>
    <w:p>
      <w:pPr>
        <w:pStyle w:val="Heading2"/>
      </w:pPr>
      <w:r>
        <w:t>What is the business model?</w:t>
      </w:r>
    </w:p>
    <w:p>
      <w:r>
        <w:t>Hospitality is the intended primary commercial engine, supported by food and beverage and paid experiences; agriculture is integrated into the offer.</w:t>
      </w:r>
    </w:p>
    <w:p>
      <w:pPr>
        <w:pStyle w:val="Heading2"/>
      </w:pPr>
      <w:r>
        <w:t>Who will operate the property?</w:t>
      </w:r>
    </w:p>
    <w:p>
      <w:r>
        <w:t>The operator/management strategy is not yet confirmed. Options include an experienced third-party operator, specialist management agreement or a directly employed team.</w:t>
      </w:r>
    </w:p>
    <w:p>
      <w:pPr>
        <w:pStyle w:val="Heading2"/>
      </w:pPr>
      <w:r>
        <w:t>What impact will the project have?</w:t>
      </w:r>
    </w:p>
    <w:p>
      <w:r>
        <w:t>Potential benefits include local employment, local procurement and stewardship. Targets and measurement should be agreed with stakeholders and supported by an impact plan.</w:t>
      </w:r>
    </w:p>
    <w:p>
      <w:pPr>
        <w:pStyle w:val="Heading2"/>
      </w:pPr>
      <w:r>
        <w:t>What approvals are required?</w:t>
      </w:r>
    </w:p>
    <w:p>
      <w:r>
        <w:t>Planning, building, environmental, tourism, food service, water/wastewater and other approvals depend on the exact site and design and require professional advice.</w:t>
      </w:r>
    </w:p>
    <w:p>
      <w:pPr>
        <w:pStyle w:val="Heading2"/>
      </w:pPr>
      <w:r>
        <w:t>What is being asked of investors now?</w:t>
      </w:r>
    </w:p>
    <w:p>
      <w:r>
        <w:t>An initial conversation with qualified investors/strategic partners, followed by controlled diligence. No commitments have been reported.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6D"/>
        <w:sz w:val="16"/>
      </w:rPr>
      <w:t>CONFIDENTIAL WORKING DRAFT • Subject to verification, feasibility and professional due diligence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1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F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78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