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F35"/>
          <w:sz w:val="22"/>
        </w:rPr>
        <w:t>JONIK NDOVU FARM</w:t>
      </w:r>
    </w:p>
    <w:p>
      <w:pPr>
        <w:jc w:val="center"/>
      </w:pPr>
      <w:r>
        <w:rPr>
          <w:b/>
          <w:color w:val="153F35"/>
          <w:sz w:val="48"/>
        </w:rPr>
        <w:t>Master Investment Case</w:t>
      </w:r>
    </w:p>
    <w:p>
      <w:pPr>
        <w:jc w:val="center"/>
      </w:pPr>
      <w:r>
        <w:rPr>
          <w:color w:val="B78A4A"/>
          <w:sz w:val="16"/>
        </w:rPr>
        <w:t>VERSION 3.0  |  INVESTOR WORKING DRAFT  |  OCTOBER 2026</w:t>
      </w:r>
    </w:p>
    <w:p/>
    <w:p>
      <w:pPr>
        <w:pStyle w:val="Heading1"/>
      </w:pPr>
      <w:r>
        <w:t>1. Executive investment thesis</w:t>
      </w:r>
    </w:p>
    <w:p>
      <w:r>
        <w:t>Jonik Ndovu Farm aims to create a differentiated, small-scale destination in Laikipia where hospitality is the principal business and agriculture contributes authenticity, guest activities, food identity and landscape. The current planning basis is 12–15 units and US$2.4 million total capital, including the potential purchase of approximately 7 hectares.</w:t>
      </w:r>
    </w:p>
    <w:p>
      <w:pPr>
        <w:pStyle w:val="Heading1"/>
      </w:pPr>
      <w:r>
        <w:t>2. Concept architecture</w:t>
      </w:r>
    </w:p>
    <w:p>
      <w:pPr>
        <w:pStyle w:val="Heading2"/>
      </w:pPr>
      <w:r>
        <w:t>Stay</w:t>
      </w:r>
    </w:p>
    <w:p>
      <w:r>
        <w:t>Boutique accommodation with privacy, comfort, indoor-outdoor connection and low-impact design.</w:t>
      </w:r>
    </w:p>
    <w:p>
      <w:pPr>
        <w:pStyle w:val="Heading2"/>
      </w:pPr>
      <w:r>
        <w:t>Eat</w:t>
      </w:r>
    </w:p>
    <w:p>
      <w:r>
        <w:t>Farm-informed menus and a considered food-and-beverage offer, with sourcing claims verified before use.</w:t>
      </w:r>
    </w:p>
    <w:p>
      <w:pPr>
        <w:pStyle w:val="Heading2"/>
      </w:pPr>
      <w:r>
        <w:t>Experience</w:t>
      </w:r>
    </w:p>
    <w:p>
      <w:r>
        <w:t>Guided farm activities, nature interpretation, wellness and local cultural experiences where suitable and consented.</w:t>
      </w:r>
    </w:p>
    <w:p>
      <w:pPr>
        <w:pStyle w:val="Heading2"/>
      </w:pPr>
      <w:r>
        <w:t>Stewardship</w:t>
      </w:r>
    </w:p>
    <w:p>
      <w:r>
        <w:t>Water, energy, waste, biodiversity and community-benefit plans integrated into operations and monitored.</w:t>
      </w:r>
    </w:p>
    <w:p>
      <w:pPr>
        <w:pStyle w:val="Heading2"/>
      </w:pPr>
      <w:r>
        <w:t>Community</w:t>
      </w:r>
    </w:p>
    <w:p>
      <w:r>
        <w:t>Local employment, supplier participation and respectful partnership designed with community input—not asserted as achieved outcomes.</w:t>
      </w:r>
    </w:p>
    <w:p>
      <w:pPr>
        <w:pStyle w:val="Heading1"/>
      </w:pPr>
      <w:r>
        <w:t>3. Land and development logic</w:t>
      </w:r>
    </w:p>
    <w:p>
      <w:r>
        <w:t>The owned 8 hectares are the confirmed starting land area in the project brief. The additional approximately 7 hectares are a proposed acquisition, not to be described as owned or secured unless and until verified. The final layout must follow a topographical survey, title boundaries, access rights, water and drainage studies, ecological constraints, planning rules, fire access and service routing.</w:t>
      </w:r>
    </w:p>
    <w:p>
      <w:pPr>
        <w:pStyle w:val="Heading1"/>
      </w:pPr>
      <w:r>
        <w:t>4. Capacity and operating model</w:t>
      </w:r>
    </w:p>
    <w:p>
      <w:r>
        <w:t>The developer-surveyed accommodation range is 12–15 units. A 12-unit base case may be used for a conservative initial operating model, with 15 units as an expansion sensitivity. Final key mix (couples, family units, accessible units) should be set by market testing and the design brief. Staffing, food service, maintenance, activities and transport should be costed for the chosen operating scale.</w:t>
      </w:r>
    </w:p>
    <w:p>
      <w:pPr>
        <w:pStyle w:val="Heading1"/>
      </w:pPr>
      <w:r>
        <w:t>5. Revenue streams to test</w:t>
      </w:r>
    </w:p>
    <w:p>
      <w:pPr>
        <w:pStyle w:val="ListBullet"/>
      </w:pPr>
      <w:r>
        <w:t>Accommodation revenue by unit type, season, rate and occupied room nights.</w:t>
      </w:r>
    </w:p>
    <w:p>
      <w:pPr>
        <w:pStyle w:val="ListBullet"/>
      </w:pPr>
      <w:r>
        <w:t>Food and beverage revenue from resident guests and any permitted external covers.</w:t>
      </w:r>
    </w:p>
    <w:p>
      <w:pPr>
        <w:pStyle w:val="ListBullet"/>
      </w:pPr>
      <w:r>
        <w:t>Experiences and activities, with realistic capacity, pricing and guide costs.</w:t>
      </w:r>
    </w:p>
    <w:p>
      <w:pPr>
        <w:pStyle w:val="ListBullet"/>
      </w:pPr>
      <w:r>
        <w:t>Potential events or retreats only if zoning, demand, noise, access and operating impacts are validated.</w:t>
      </w:r>
    </w:p>
    <w:p>
      <w:pPr>
        <w:pStyle w:val="ListBullet"/>
      </w:pPr>
      <w:r>
        <w:t>Retail or produce sales only where operationally sensible; do not rely on these to underwrite core debt service.</w:t>
      </w:r>
    </w:p>
    <w:p>
      <w:pPr>
        <w:pStyle w:val="Heading1"/>
      </w:pPr>
      <w:r>
        <w:t>6. Investment options to compare</w:t>
      </w:r>
    </w:p>
    <w:p>
      <w:pPr>
        <w:pStyle w:val="Heading2"/>
      </w:pPr>
      <w:r>
        <w:t>Option A — phased development</w:t>
      </w:r>
    </w:p>
    <w:p>
      <w:r>
        <w:t>Prioritize the land and legal path, essential infrastructure, a complete guest-ready first phase and a lean operating model. Expand only when demand, service quality and cash generation support it. This can reduce initial execution risk but may increase unit costs and require a carefully designed future expansion plan.</w:t>
      </w:r>
    </w:p>
    <w:p>
      <w:pPr>
        <w:pStyle w:val="Heading2"/>
      </w:pPr>
      <w:r>
        <w:t>Option B — full 12–15 unit development</w:t>
      </w:r>
    </w:p>
    <w:p>
      <w:r>
        <w:t>Build the complete intended product in one coordinated programme. This may deliver a more coherent guest experience and operating scale, but exposes more capital before demand is proven and requires tighter cost certainty, approvals and pre-opening readiness.</w:t>
      </w:r>
    </w:p>
    <w:p>
      <w:pPr>
        <w:pStyle w:val="Heading2"/>
      </w:pPr>
      <w:r>
        <w:t>Recommendation</w:t>
      </w:r>
    </w:p>
    <w:p>
      <w:r>
        <w:t>Do not present either option as the winner until the same QS cost plan and integrated model have tested both, including downside occupancy/rates, cost escalation, delayed opening and working-capital needs. The recommendation should be based on risk-adjusted funding sufficiency, not the most attractive headline return.</w:t>
      </w:r>
    </w:p>
    <w:p>
      <w:pPr>
        <w:pStyle w:val="Heading1"/>
      </w:pPr>
      <w:r>
        <w:t>7. Investor structure</w:t>
      </w:r>
    </w:p>
    <w:p>
      <w:r>
        <w:t>A lead investor plus a small group of co-investors is a practical starting hypothesis. Capital amounts, equity percentages, governance rights, preferred returns, dilution, exit routes and debt terms remain open for negotiation and legal/tax review. Do not include an illustrative allocation in investor-facing material as if it were agreed.</w:t>
      </w:r>
    </w:p>
    <w:p>
      <w:pPr>
        <w:pStyle w:val="Heading1"/>
      </w:pPr>
      <w:r>
        <w:t>8. Key diligence conditions</w:t>
      </w:r>
    </w:p>
    <w:p>
      <w:pPr>
        <w:pStyle w:val="ListBullet"/>
      </w:pPr>
      <w:r>
        <w:t>Legal: title, encumbrances, land-use restrictions, acquisition agreement and foreign ownership/structuring advice as applicable.</w:t>
      </w:r>
    </w:p>
    <w:p>
      <w:pPr>
        <w:pStyle w:val="ListBullet"/>
      </w:pPr>
      <w:r>
        <w:t>Technical: boundary/topographic survey, geotechnical input, water availability, wastewater, power, road access and fire/emergency response.</w:t>
      </w:r>
    </w:p>
    <w:p>
      <w:pPr>
        <w:pStyle w:val="ListBullet"/>
      </w:pPr>
      <w:r>
        <w:t>Planning/environmental: permitted uses, building approvals, environmental and social assessment requirements, wildlife interfaces and operating licences.</w:t>
      </w:r>
    </w:p>
    <w:p>
      <w:pPr>
        <w:pStyle w:val="ListBullet"/>
      </w:pPr>
      <w:r>
        <w:t>Commercial: competitor set, demand segmentation, rates, seasonality, booking channels, operator/manager strategy and guest transport.</w:t>
      </w:r>
    </w:p>
    <w:p>
      <w:pPr>
        <w:pStyle w:val="ListBullet"/>
      </w:pPr>
      <w:r>
        <w:t>Financial: QS capex, contingencies, tax, VAT, working capital, financing costs, ramp-up, downside case and investor return calculations.</w:t>
      </w:r>
    </w:p>
    <w:p>
      <w:pPr>
        <w:pStyle w:val="Heading1"/>
      </w:pPr>
      <w:r>
        <w:t>9. Investment readiness statement</w:t>
      </w:r>
    </w:p>
    <w:p>
      <w:r>
        <w:t>The project is at concept and fundraising-material stage. A professional investor should be invited into a structured diligence process, not asked to rely on unverified forecast returns or AI-generated site visuals.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36D"/>
        <w:sz w:val="16"/>
      </w:rPr>
      <w:t>CONFIDENTIAL WORKING DRAFT • Subject to verification, feasibility and professional due diligence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1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F3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6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78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F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