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F35"/>
          <w:sz w:val="22"/>
        </w:rPr>
        <w:t>JONIK NDOVU FARM</w:t>
      </w:r>
    </w:p>
    <w:p>
      <w:pPr>
        <w:jc w:val="center"/>
      </w:pPr>
      <w:r>
        <w:rPr>
          <w:b/>
          <w:color w:val="153F35"/>
          <w:sz w:val="48"/>
        </w:rPr>
        <w:t>Indicative Term-Sheet Framework</w:t>
      </w:r>
    </w:p>
    <w:p>
      <w:pPr>
        <w:jc w:val="center"/>
      </w:pPr>
      <w:r>
        <w:rPr>
          <w:color w:val="B78A4A"/>
          <w:sz w:val="16"/>
        </w:rPr>
        <w:t>VERSION 3.0  |  INVESTOR WORKING DRAFT  |  OCTOBER 2026</w:t>
      </w:r>
    </w:p>
    <w:p/>
    <w:p>
      <w:r>
        <w:t>Discussion template only. Not a binding offer, investment recommendation or legal document. To be completed with Kenyan legal, tax and corporate advisers.</w:t>
      </w:r>
    </w:p>
    <w:p>
      <w:pPr>
        <w:pStyle w:val="Heading2"/>
      </w:pPr>
      <w:r>
        <w:t>1. Parties</w:t>
      </w:r>
    </w:p>
    <w:p>
      <w:r>
        <w:t>Project company / landholding entity: to be confirmed. Investor(s): to be identified. Sponsor/developer: to be confirmed.</w:t>
      </w:r>
    </w:p>
    <w:p>
      <w:pPr>
        <w:pStyle w:val="Heading2"/>
      </w:pPr>
      <w:r>
        <w:t>2. Project</w:t>
      </w:r>
    </w:p>
    <w:p>
      <w:r>
        <w:t>Hospitality-led agro-tourism destination in Segera, Laikipia County, Kenya; 12–15 accommodation units; US$2.4m total capital requirement inclusive of proposed additional land acquisition.</w:t>
      </w:r>
    </w:p>
    <w:p>
      <w:pPr>
        <w:pStyle w:val="Heading2"/>
      </w:pPr>
      <w:r>
        <w:t>3. Instrument</w:t>
      </w:r>
    </w:p>
    <w:p>
      <w:r>
        <w:t>To be assessed: ordinary equity, preferred equity, shareholder loan, senior debt or blended structure. Selection depends on cash-flow capacity, security, investor needs and tax advice.</w:t>
      </w:r>
    </w:p>
    <w:p>
      <w:pPr>
        <w:pStyle w:val="Heading2"/>
      </w:pPr>
      <w:r>
        <w:t>4. Amount and closing</w:t>
      </w:r>
    </w:p>
    <w:p>
      <w:r>
        <w:t>Total raise target: US$2.4m; proposed tranches and closing conditions to be agreed. Any split between equity and debt must be model-supported and lender-validated.</w:t>
      </w:r>
    </w:p>
    <w:p>
      <w:pPr>
        <w:pStyle w:val="Heading2"/>
      </w:pPr>
      <w:r>
        <w:t>5. Use of proceeds</w:t>
      </w:r>
    </w:p>
    <w:p>
      <w:r>
        <w:t>Land acquisition; design and professional fees; approvals; construction and infrastructure; FF&amp;E; pre-opening; contingency; working capital. Detailed allocation subject to QS and diligence.</w:t>
      </w:r>
    </w:p>
    <w:p>
      <w:pPr>
        <w:pStyle w:val="Heading2"/>
      </w:pPr>
      <w:r>
        <w:t>6. Valuation and ownership</w:t>
      </w:r>
    </w:p>
    <w:p>
      <w:r>
        <w:t>Pre-money valuation, share price, dilution, investor ownership and sponsor contribution: open pending valuation, asset/legal diligence and negotiations.</w:t>
      </w:r>
    </w:p>
    <w:p>
      <w:pPr>
        <w:pStyle w:val="Heading2"/>
      </w:pPr>
      <w:r>
        <w:t>7. Governance</w:t>
      </w:r>
    </w:p>
    <w:p>
      <w:r>
        <w:t>Board composition, reserved matters, reporting, budget approval, related-party controls, information rights and deadlock process: to be negotiated.</w:t>
      </w:r>
    </w:p>
    <w:p>
      <w:pPr>
        <w:pStyle w:val="Heading2"/>
      </w:pPr>
      <w:r>
        <w:t>8. Conditions precedent</w:t>
      </w:r>
    </w:p>
    <w:p>
      <w:r>
        <w:t>Verified land title and acquisition agreement; satisfactory technical and environmental diligence; approvals pathway; approved budget; model; project company and shareholder documentation; investor KYC/AML.</w:t>
      </w:r>
    </w:p>
    <w:p>
      <w:pPr>
        <w:pStyle w:val="Heading2"/>
      </w:pPr>
      <w:r>
        <w:t>9. Drawdown controls</w:t>
      </w:r>
    </w:p>
    <w:p>
      <w:r>
        <w:t>Milestone-based drawdowns against approved budget, invoices/certificates, independent cost monitoring and reporting.</w:t>
      </w:r>
    </w:p>
    <w:p>
      <w:pPr>
        <w:pStyle w:val="Heading2"/>
      </w:pPr>
      <w:r>
        <w:t>10. Returns and distributions</w:t>
      </w:r>
    </w:p>
    <w:p>
      <w:r>
        <w:t>No return is promised. Dividend policy, preferred return, hurdle, waterfall and reinvestment policy to be determined from the financial model and legal/tax advice.</w:t>
      </w:r>
    </w:p>
    <w:p>
      <w:pPr>
        <w:pStyle w:val="Heading2"/>
      </w:pPr>
      <w:r>
        <w:t>11. Exit</w:t>
      </w:r>
    </w:p>
    <w:p>
      <w:r>
        <w:t>Potential sale, refinancing, buyback or other liquidity event subject to market conditions, governance rights, legal restrictions and negotiated terms.</w:t>
      </w:r>
    </w:p>
    <w:p>
      <w:pPr>
        <w:pStyle w:val="Heading2"/>
      </w:pPr>
      <w:r>
        <w:t>12. Exclusivity and confidentiality</w:t>
      </w:r>
    </w:p>
    <w:p>
      <w:r>
        <w:t>Any exclusivity period, confidentiality obligations and permitted disclosure to be agreed in definitive documents.</w:t>
      </w:r>
    </w:p>
    <w:p>
      <w:pPr>
        <w:pStyle w:val="Heading2"/>
      </w:pPr>
      <w:r>
        <w:t>13. Costs and governing law</w:t>
      </w:r>
    </w:p>
    <w:p>
      <w:r>
        <w:t>Advisory costs, dispute resolution and governing law to be advised by Kenyan counsel and agreed in definitive documentation.</w:t>
      </w:r>
    </w:p>
    <w:p>
      <w:pPr>
        <w:pStyle w:val="Heading2"/>
      </w:pPr>
      <w:r>
        <w:t>14. Non-binding status</w:t>
      </w:r>
    </w:p>
    <w:p>
      <w:r>
        <w:t>Except for expressly stated confidentiality/exclusivity provisions, this framework is non-binding and subject to definitive agreements.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6D"/>
        <w:sz w:val="16"/>
      </w:rPr>
      <w:t>CONFIDENTIAL WORKING DRAFT • Subject to verification, feasibility and professional due diligence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8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