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90-Day Capital-Raising Plan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r>
        <w:t>Objective: build a credible investor pipeline and move from concept materials to qualified discussions and a diligence-ready opportunity. The schedule assumes the project team can respond promptly and commission priority professional work.</w:t>
      </w:r>
    </w:p>
    <w:p>
      <w:pPr>
        <w:pStyle w:val="Heading2"/>
      </w:pPr>
      <w:r>
        <w:t>Days 1–15 | Lock the facts</w:t>
      </w:r>
    </w:p>
    <w:p>
      <w:r>
        <w:t>Approve the 12–15-unit range and US$2.4m all-in capital target; obtain written land terms; appoint project lead; build document register; confirm ownership/title evidence; commission survey and QS scope; agree confidentiality process.</w:t>
      </w:r>
    </w:p>
    <w:p>
      <w:pPr>
        <w:pStyle w:val="Heading2"/>
      </w:pPr>
      <w:r>
        <w:t>Days 16–30 | Build investor-grade evidence</w:t>
      </w:r>
    </w:p>
    <w:p>
      <w:r>
        <w:t>Complete sources &amp; uses with QS input; prepare base/downside financial model; compile location/access/utility evidence; map planning and environmental approvals; benchmark competitors and rate positioning; document operator options.</w:t>
      </w:r>
    </w:p>
    <w:p>
      <w:pPr>
        <w:pStyle w:val="Heading2"/>
      </w:pPr>
      <w:r>
        <w:t>Days 31–45 | Segment and qualify prospects</w:t>
      </w:r>
    </w:p>
    <w:p>
      <w:r>
        <w:t>Create a researched list of hospitality investors, family offices, Kenyan/East African business groups, impact-aligned investors and strategic operators. Score fit, ticket size, geography, hospitality experience and decision access. Do not represent names as interested without evidence.</w:t>
      </w:r>
    </w:p>
    <w:p>
      <w:pPr>
        <w:pStyle w:val="Heading2"/>
      </w:pPr>
      <w:r>
        <w:t>Days 46–60 | Controlled outreach</w:t>
      </w:r>
    </w:p>
    <w:p>
      <w:r>
        <w:t>Send personalized teaser to qualified prospects; ask for a 20–30 minute introductory call; track contact, response, next step and source. Share the full deck only where appropriate; share sensitive documents only under NDA and with permission.</w:t>
      </w:r>
    </w:p>
    <w:p>
      <w:pPr>
        <w:pStyle w:val="Heading2"/>
      </w:pPr>
      <w:r>
        <w:t>Days 61–75 | Meetings and diligence</w:t>
      </w:r>
    </w:p>
    <w:p>
      <w:r>
        <w:t>Use one consistent pitch; log objections; provide a controlled data room; answer questions with evidence; arrange site visit where useful; maintain an issues log and weekly investor pipeline review.</w:t>
      </w:r>
    </w:p>
    <w:p>
      <w:pPr>
        <w:pStyle w:val="Heading2"/>
      </w:pPr>
      <w:r>
        <w:t>Days 76–90 | Structure and advance</w:t>
      </w:r>
    </w:p>
    <w:p>
      <w:r>
        <w:t>Identify potential lead investor(s); compare indicative structures; align governance and decision rights; seek non-binding expressions of interest where appropriate; instruct legal/tax advisers before term sheets or binding commitments.</w:t>
      </w:r>
    </w:p>
    <w:p>
      <w:pPr>
        <w:pStyle w:val="Heading1"/>
      </w:pPr>
      <w:r>
        <w:t>Weekly dashboard</w:t>
      </w:r>
    </w:p>
    <w:p>
      <w:pPr>
        <w:pStyle w:val="ListBullet"/>
      </w:pPr>
      <w:r>
        <w:t>Number of researched prospects and verified decision-makers.</w:t>
      </w:r>
    </w:p>
    <w:p>
      <w:pPr>
        <w:pStyle w:val="ListBullet"/>
      </w:pPr>
      <w:r>
        <w:t>Personalized outreaches sent, responses, introductory calls and follow-up meetings.</w:t>
      </w:r>
    </w:p>
    <w:p>
      <w:pPr>
        <w:pStyle w:val="ListBullet"/>
      </w:pPr>
      <w:r>
        <w:t>Investors progressing to NDA/data room/site visit.</w:t>
      </w:r>
    </w:p>
    <w:p>
      <w:pPr>
        <w:pStyle w:val="ListBullet"/>
      </w:pPr>
      <w:r>
        <w:t>Top five objections and evidence needed to address each.</w:t>
      </w:r>
    </w:p>
    <w:p>
      <w:pPr>
        <w:pStyle w:val="ListBullet"/>
      </w:pPr>
      <w:r>
        <w:t>Readiness blockers: land, QS cost plan, market study, permits, operator and model.</w:t>
      </w:r>
    </w:p>
    <w:p>
      <w:pPr>
        <w:pStyle w:val="ListBullet"/>
      </w:pPr>
      <w:r>
        <w:t>Cash required to complete diligence and keep the project moving.</w:t>
      </w:r>
    </w:p>
    <w:p>
      <w:pPr>
        <w:pStyle w:val="Heading1"/>
      </w:pPr>
      <w:r>
        <w:t>Investor segments to prioritize</w:t>
      </w:r>
    </w:p>
    <w:p>
      <w:pPr>
        <w:pStyle w:val="ListBullet"/>
      </w:pPr>
      <w:r>
        <w:t>Lead equity investor with hospitality or real-asset experience.</w:t>
      </w:r>
    </w:p>
    <w:p>
      <w:pPr>
        <w:pStyle w:val="ListBullet"/>
      </w:pPr>
      <w:r>
        <w:t>Kenyan/East African family offices and business owners with long-term investment horizon.</w:t>
      </w:r>
    </w:p>
    <w:p>
      <w:pPr>
        <w:pStyle w:val="ListBullet"/>
      </w:pPr>
      <w:r>
        <w:t>Boutique hotel/lodge operators or management partners seeking a distinctive asset.</w:t>
      </w:r>
    </w:p>
    <w:p>
      <w:pPr>
        <w:pStyle w:val="ListBullet"/>
      </w:pPr>
      <w:r>
        <w:t>Impact-aligned tourism investors, where measurable environmental/community outcomes can be supported.</w:t>
      </w:r>
    </w:p>
    <w:p>
      <w:pPr>
        <w:pStyle w:val="ListBullet"/>
      </w:pPr>
      <w:r>
        <w:t>Co-investors who can follow a credible lead rather than create a fragmented decision process.</w:t>
      </w:r>
    </w:p>
    <w:p>
      <w:pPr>
        <w:pStyle w:val="Heading1"/>
      </w:pPr>
      <w:r>
        <w:t>Outreach rule</w:t>
      </w:r>
    </w:p>
    <w:p>
      <w:r>
        <w:t>Never bulk-send an identical message to a large unqualified list. Use a short personalized note, a clear ask, and a transparent statement that the opportunity is at concept stage and figures are subject to diligence.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