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F35"/>
          <w:sz w:val="22"/>
        </w:rPr>
        <w:t>JONIK NDOVU FARM</w:t>
      </w:r>
    </w:p>
    <w:p>
      <w:pPr>
        <w:jc w:val="center"/>
      </w:pPr>
      <w:r>
        <w:rPr>
          <w:b/>
          <w:color w:val="153F35"/>
          <w:sz w:val="48"/>
        </w:rPr>
        <w:t>Investor Brief — 5-Minute Overview</w:t>
      </w:r>
    </w:p>
    <w:p>
      <w:pPr>
        <w:jc w:val="center"/>
      </w:pPr>
      <w:r>
        <w:rPr>
          <w:color w:val="B78A4A"/>
          <w:sz w:val="16"/>
        </w:rPr>
        <w:t>VERSION 3.0  |  INVESTOR WORKING DRAFT  |  OCTOBER 2026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285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Concept_Cover_Visu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8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The proposition</w:t>
      </w:r>
    </w:p>
    <w:p>
      <w:r>
        <w:t>Jonik Ndovu Farm is being developed as a hospitality-led agro-tourism destination in Segera, Laikipia County, Kenya. The ambition is to create a small, memorable place to stay where thoughtful accommodation, farm-to-table dining, agricultural experiences and the natural setting work together.</w:t>
      </w:r>
    </w:p>
    <w:p>
      <w:pPr>
        <w:pStyle w:val="Heading1"/>
      </w:pPr>
      <w:r>
        <w:t>The verified project brief for Version 3.0</w:t>
      </w:r>
    </w:p>
    <w:p>
      <w:r>
        <w:t>Project: Jonik Ndovu Farm — hospitality-led agro-tourism destination</w:t>
      </w:r>
    </w:p>
    <w:p>
      <w:r>
        <w:t>Location: Segera, Laikipia County, Kenya (site-specific access, setting and claims to be verified)</w:t>
      </w:r>
    </w:p>
    <w:p>
      <w:r>
        <w:t>Existing land: 8 hectares owned, subject to title/legal due diligence</w:t>
      </w:r>
    </w:p>
    <w:p>
      <w:r>
        <w:t>Potential expansion: Up to approximately 7 additional hectares to acquire; subject to price, title, access and diligence</w:t>
      </w:r>
    </w:p>
    <w:p>
      <w:r>
        <w:t>Indicative ultimate land area: Approximately 15 hectares if expansion is completed</w:t>
      </w:r>
    </w:p>
    <w:p>
      <w:r>
        <w:t>Accommodation: 12–15 units, subject to final design, approvals, market testing and cost plan</w:t>
      </w:r>
    </w:p>
    <w:p>
      <w:r>
        <w:t>Total capital requirement: US$2.4 million including acquisition of the additional land</w:t>
      </w:r>
    </w:p>
    <w:p>
      <w:r>
        <w:t>Current stage: Concept and investor materials prepared; no investor discussions/commitments reported</w:t>
      </w:r>
    </w:p>
    <w:p>
      <w:r>
        <w:t>Commercial positioning: Boutique hospitality as the principal commercial engine; agriculture integrated into guest experience, food and landscape</w:t>
      </w:r>
    </w:p>
    <w:p>
      <w:pPr>
        <w:pStyle w:val="Heading1"/>
      </w:pPr>
      <w:r>
        <w:t>What makes the concept distinct</w:t>
      </w:r>
    </w:p>
    <w:p>
      <w:pPr>
        <w:pStyle w:val="ListBullet"/>
      </w:pPr>
      <w:r>
        <w:t>Hospitality-led economics: accommodation, food and beverage, experiences and related guest spend are the intended core revenue drivers.</w:t>
      </w:r>
    </w:p>
    <w:p>
      <w:pPr>
        <w:pStyle w:val="ListBullet"/>
      </w:pPr>
      <w:r>
        <w:t>Farm-integrated guest experience: productive gardens, food sourcing, guided activities and landscape design support the destination identity.</w:t>
      </w:r>
    </w:p>
    <w:p>
      <w:pPr>
        <w:pStyle w:val="ListBullet"/>
      </w:pPr>
      <w:r>
        <w:t>Boutique scale: 12–15 units is the current developer-surveyed range, subject to final planning, design and feasibility.</w:t>
      </w:r>
    </w:p>
    <w:p>
      <w:pPr>
        <w:pStyle w:val="ListBullet"/>
      </w:pPr>
      <w:r>
        <w:t>Land strategy: the existing 8 hectares provide the starting point; acquisition of up to approximately 7 additional hectares is included within the total US$2.4m capital target.</w:t>
      </w:r>
    </w:p>
    <w:p>
      <w:pPr>
        <w:pStyle w:val="Heading1"/>
      </w:pPr>
      <w:r>
        <w:t>Capital requirement and use of funds</w:t>
      </w:r>
    </w:p>
    <w:p>
      <w:r>
        <w:t>The stated total capital requirement is US$2.4 million inclusive of the potential additional land acquisition. A detailed allocation is not yet represented as final. The next step is to obtain written land terms, a quantity-surveyor cost plan, infrastructure scope, professional fees, pre-opening budget and a contingency-supported sources-and-uses schedule.</w:t>
      </w:r>
    </w:p>
    <w:p>
      <w:pPr>
        <w:pStyle w:val="Heading1"/>
      </w:pPr>
      <w:r>
        <w:t>Investment approach</w:t>
      </w:r>
    </w:p>
    <w:p>
      <w:r>
        <w:t>The preferred fundraising path is to identify a credible lead investor or strategic partner, then build a small aligned syndicate around a single diligence process. Both a phased build and a full build should be tested against the same demand, capex, staffing, infrastructure and cash-flow assumptions before recommending one.</w:t>
      </w:r>
    </w:p>
    <w:p>
      <w:pPr>
        <w:pStyle w:val="Heading1"/>
      </w:pPr>
      <w:r>
        <w:t>What investors should expect next</w:t>
      </w:r>
    </w:p>
    <w:p>
      <w:pPr>
        <w:pStyle w:val="ListBullet"/>
      </w:pPr>
      <w:r>
        <w:t>Land title and acquisition diligence; access, utilities, water and planning confirmation.</w:t>
      </w:r>
    </w:p>
    <w:p>
      <w:pPr>
        <w:pStyle w:val="ListBullet"/>
      </w:pPr>
      <w:r>
        <w:t>Market and competitor assessment, target guest definition and channel strategy.</w:t>
      </w:r>
    </w:p>
    <w:p>
      <w:pPr>
        <w:pStyle w:val="ListBullet"/>
      </w:pPr>
      <w:r>
        <w:t>Design brief, site survey, concept plan, approvals pathway and QS cost plan.</w:t>
      </w:r>
    </w:p>
    <w:p>
      <w:pPr>
        <w:pStyle w:val="ListBullet"/>
      </w:pPr>
      <w:r>
        <w:t>Integrated 10-year model with transparent assumptions, downside cases and funding needs.</w:t>
      </w:r>
    </w:p>
    <w:p>
      <w:pPr>
        <w:pStyle w:val="ListBullet"/>
      </w:pPr>
      <w:r>
        <w:t>Proposed legal structure, governance, operator strategy and indicative investment terms.</w:t>
      </w:r>
    </w:p>
    <w:p>
      <w:pPr>
        <w:pStyle w:val="Heading1"/>
      </w:pPr>
      <w:r>
        <w:t>Important qualification</w:t>
      </w:r>
    </w:p>
    <w:p>
      <w:r>
        <w:t>This is an introductory working brief, not an offer to sell securities or a representation of forecast performance. No investor discussions or commitments have been reported. All financial projections, returns and site-specific claims require independent validation.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36D"/>
        <w:sz w:val="16"/>
      </w:rPr>
      <w:t>CONFIDENTIAL WORKING DRAFT • Subject to verification, feasibility and professional due diligence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1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78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