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Reconciliation &amp; Diligence Checklist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r>
        <w:t>Use this checklist to remove contradictions and establish a clean investor version. The earlier 24-unit and US$10.8m figures are explicitly superseded.</w:t>
      </w:r>
    </w:p>
    <w:p>
      <w:r>
        <w:t>☐ Every document states 12–15 units; if using one case in the model, label 12 units as base case and 15 as sensitivity.</w:t>
      </w:r>
    </w:p>
    <w:p>
      <w:r>
        <w:t>☐ Every document states US$2.4m total capital requirement inclusive of the proposed additional ~7 hectares.</w:t>
      </w:r>
    </w:p>
    <w:p>
      <w:r>
        <w:t>☐ Every document distinguishes 8 hectares stated as owned from the ~7 hectares still to acquire.</w:t>
      </w:r>
    </w:p>
    <w:p>
      <w:r>
        <w:t>☐ No document says 15 hectares are already owned or the additional land is secured.</w:t>
      </w:r>
    </w:p>
    <w:p>
      <w:r>
        <w:t>☐ No return, occupancy, ADR, EBITDA, payback or valuation is stated as verified until supported by evidence.</w:t>
      </w:r>
    </w:p>
    <w:p>
      <w:r>
        <w:t>☐ Sources &amp; uses reconcile to exactly US$2.4m after land, transaction costs, construction, infrastructure, FF&amp;E, fees, contingency and working capital are included.</w:t>
      </w:r>
    </w:p>
    <w:p>
      <w:r>
        <w:t>☐ Phased and full-build options are compared using the same assumptions and cost basis.</w:t>
      </w:r>
    </w:p>
    <w:p>
      <w:r>
        <w:t>☐ Location claims, access, views, wildlife and Mount Kenya references are verified for the exact site before use.</w:t>
      </w:r>
    </w:p>
    <w:p>
      <w:r>
        <w:t>☐ AI-generated images are labelled conceptual/illustrative and not actual site renderings.</w:t>
      </w:r>
    </w:p>
    <w:p>
      <w:r>
        <w:t>☐ Ownership, title, encumbrances, acquisition terms, access, water, power, wastewater, planning and environmental requirements have evidence owners.</w:t>
      </w:r>
    </w:p>
    <w:p>
      <w:r>
        <w:t>☐ Investor structure and any proposed lead/co-investor allocations are labelled indicative until negotiated.</w:t>
      </w:r>
    </w:p>
    <w:p>
      <w:r>
        <w:t>☐ Data room access is permission-controlled; sensitive personal/financial information is not broadly shared.</w:t>
      </w:r>
    </w:p>
    <w:p>
      <w:pPr>
        <w:pStyle w:val="Heading1"/>
      </w:pPr>
      <w:r>
        <w:t>Priority evidence owners</w:t>
      </w:r>
    </w:p>
    <w:p>
      <w:pPr>
        <w:pStyle w:val="ListBullet"/>
      </w:pPr>
      <w:r>
        <w:t>Sponsor/project lead — authoritative project facts and approvals register</w:t>
      </w:r>
    </w:p>
    <w:p>
      <w:pPr>
        <w:pStyle w:val="ListBullet"/>
      </w:pPr>
      <w:r>
        <w:t>Kenyan property counsel — title, land acquisition and corporate structure</w:t>
      </w:r>
    </w:p>
    <w:p>
      <w:pPr>
        <w:pStyle w:val="ListBullet"/>
      </w:pPr>
      <w:r>
        <w:t>Registered surveyor — boundaries, topography, access and constraints</w:t>
      </w:r>
    </w:p>
    <w:p>
      <w:pPr>
        <w:pStyle w:val="ListBullet"/>
      </w:pPr>
      <w:r>
        <w:t>Quantity surveyor — capex and contingency</w:t>
      </w:r>
    </w:p>
    <w:p>
      <w:pPr>
        <w:pStyle w:val="ListBullet"/>
      </w:pPr>
      <w:r>
        <w:t>Hospitality market/operator adviser — demand, rates, channel mix and operating costs</w:t>
      </w:r>
    </w:p>
    <w:p>
      <w:pPr>
        <w:pStyle w:val="ListBullet"/>
      </w:pPr>
      <w:r>
        <w:t>Architect/engineers/environmental specialist — design, infrastructure, approvals and impact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