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A88B65"/>
          <w:sz w:val="18"/>
        </w:rPr>
        <w:t>JONIK NDOVU FARM INVESTOR PACKAGE · EXECUTIVE OVERVIEW</w:t>
      </w:r>
    </w:p>
    <w:p>
      <w:pPr>
        <w:spacing w:before="40" w:after="80"/>
      </w:pPr>
      <w:r>
        <w:rPr>
          <w:rFonts w:ascii="Georgia" w:hAnsi="Georgia"/>
          <w:b/>
          <w:color w:val="19382D"/>
          <w:sz w:val="44"/>
        </w:rPr>
        <w:t>Investor 5-Minute Brief</w:t>
      </w:r>
    </w:p>
    <w:p>
      <w:pPr>
        <w:spacing w:before="0" w:after="280"/>
      </w:pPr>
      <w:r>
        <w:rPr>
          <w:rFonts w:ascii="Calibri" w:hAnsi="Calibri"/>
          <w:color w:val="646464"/>
          <w:sz w:val="21"/>
        </w:rPr>
        <w:t>Decision-Useful Overview of the US$2.4M Hospitality-Led Agro-Tourism Opportunity</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19382D"/>
            <w:tcMar>
              <w:top w:w="140" w:type="dxa"/>
              <w:bottom w:w="140" w:type="dxa"/>
              <w:left w:w="180" w:type="dxa"/>
              <w:right w:w="180" w:type="dxa"/>
            </w:tcMar>
          </w:tcPr>
          <w:p>
            <w:pPr>
              <w:jc w:val="left"/>
            </w:pPr>
            <w:r>
              <w:rPr>
                <w:rFonts w:ascii="Calibri" w:hAnsi="Calibri"/>
                <w:b/>
                <w:color w:val="F7F4EC"/>
                <w:sz w:val="19"/>
              </w:rPr>
              <w:t>Document ID</w:t>
            </w:r>
          </w:p>
        </w:tc>
        <w:tc>
          <w:tcPr>
            <w:tcW w:type="dxa" w:w="1728"/>
            <w:shd w:fill="19382D"/>
            <w:tcMar>
              <w:top w:w="140" w:type="dxa"/>
              <w:bottom w:w="140" w:type="dxa"/>
              <w:left w:w="180" w:type="dxa"/>
              <w:right w:w="180" w:type="dxa"/>
            </w:tcMar>
          </w:tcPr>
          <w:p>
            <w:pPr>
              <w:jc w:val="left"/>
            </w:pPr>
            <w:r>
              <w:rPr>
                <w:rFonts w:ascii="Calibri" w:hAnsi="Calibri"/>
                <w:b/>
                <w:color w:val="F7F4EC"/>
                <w:sz w:val="19"/>
              </w:rPr>
              <w:t>Version</w:t>
            </w:r>
          </w:p>
        </w:tc>
        <w:tc>
          <w:tcPr>
            <w:tcW w:type="dxa" w:w="1872"/>
            <w:shd w:fill="19382D"/>
            <w:tcMar>
              <w:top w:w="140" w:type="dxa"/>
              <w:bottom w:w="140" w:type="dxa"/>
              <w:left w:w="180" w:type="dxa"/>
              <w:right w:w="180" w:type="dxa"/>
            </w:tcMar>
          </w:tcPr>
          <w:p>
            <w:pPr>
              <w:jc w:val="left"/>
            </w:pPr>
            <w:r>
              <w:rPr>
                <w:rFonts w:ascii="Calibri" w:hAnsi="Calibri"/>
                <w:b/>
                <w:color w:val="F7F4EC"/>
                <w:sz w:val="19"/>
              </w:rPr>
              <w:t>Date</w:t>
            </w:r>
          </w:p>
        </w:tc>
        <w:tc>
          <w:tcPr>
            <w:tcW w:type="dxa" w:w="2592"/>
            <w:shd w:fill="19382D"/>
            <w:tcMar>
              <w:top w:w="140" w:type="dxa"/>
              <w:bottom w:w="140" w:type="dxa"/>
              <w:left w:w="180" w:type="dxa"/>
              <w:right w:w="180" w:type="dxa"/>
            </w:tcMar>
          </w:tcPr>
          <w:p>
            <w:pPr>
              <w:jc w:val="left"/>
            </w:pPr>
            <w:r>
              <w:rPr>
                <w:rFonts w:ascii="Calibri" w:hAnsi="Calibri"/>
                <w:b/>
                <w:color w:val="F7F4EC"/>
                <w:sz w:val="19"/>
              </w:rPr>
              <w:t>Confidentiality Tier</w:t>
            </w:r>
          </w:p>
        </w:tc>
        <w:tc>
          <w:tcPr>
            <w:tcW w:type="dxa" w:w="1728"/>
            <w:shd w:fill="19382D"/>
            <w:tcMar>
              <w:top w:w="140" w:type="dxa"/>
              <w:bottom w:w="140" w:type="dxa"/>
              <w:left w:w="180" w:type="dxa"/>
              <w:right w:w="180" w:type="dxa"/>
            </w:tcMar>
          </w:tcPr>
          <w:p>
            <w:pPr>
              <w:jc w:val="left"/>
            </w:pPr>
            <w:r>
              <w:rPr>
                <w:rFonts w:ascii="Calibri" w:hAnsi="Calibri"/>
                <w:b/>
                <w:color w:val="F7F4EC"/>
                <w:sz w:val="19"/>
              </w:rPr>
              <w:t>Project Status</w:t>
            </w:r>
          </w:p>
        </w:tc>
      </w:tr>
      <w:tr>
        <w:tc>
          <w:tcPr>
            <w:tcW w:type="dxa" w:w="1872"/>
            <w:shd w:fill="FFFFFF"/>
            <w:tcMar>
              <w:top w:w="100" w:type="dxa"/>
              <w:bottom w:w="100" w:type="dxa"/>
              <w:left w:w="160" w:type="dxa"/>
              <w:right w:w="160" w:type="dxa"/>
            </w:tcMar>
          </w:tcPr>
          <w:p>
            <w:pPr>
              <w:jc w:val="left"/>
            </w:pPr>
            <w:r>
              <w:rPr>
                <w:rFonts w:ascii="Calibri" w:hAnsi="Calibri"/>
                <w:color w:val="282C29"/>
                <w:sz w:val="18"/>
              </w:rPr>
              <w:t>DOC-02</w:t>
            </w:r>
          </w:p>
        </w:tc>
        <w:tc>
          <w:tcPr>
            <w:tcW w:type="dxa" w:w="1728"/>
            <w:shd w:fill="FFFFFF"/>
            <w:tcMar>
              <w:top w:w="100" w:type="dxa"/>
              <w:bottom w:w="100" w:type="dxa"/>
              <w:left w:w="160" w:type="dxa"/>
              <w:right w:w="160" w:type="dxa"/>
            </w:tcMar>
          </w:tcPr>
          <w:p>
            <w:pPr>
              <w:jc w:val="left"/>
            </w:pPr>
            <w:r>
              <w:rPr>
                <w:rFonts w:ascii="Calibri" w:hAnsi="Calibri"/>
                <w:color w:val="282C29"/>
                <w:sz w:val="18"/>
              </w:rPr>
              <w:t>V3.0 Verified</w:t>
            </w:r>
          </w:p>
        </w:tc>
        <w:tc>
          <w:tcPr>
            <w:tcW w:type="dxa" w:w="1872"/>
            <w:shd w:fill="FFFFFF"/>
            <w:tcMar>
              <w:top w:w="100" w:type="dxa"/>
              <w:bottom w:w="100" w:type="dxa"/>
              <w:left w:w="160" w:type="dxa"/>
              <w:right w:w="160" w:type="dxa"/>
            </w:tcMar>
          </w:tcPr>
          <w:p>
            <w:pPr>
              <w:jc w:val="left"/>
            </w:pPr>
            <w:r>
              <w:rPr>
                <w:rFonts w:ascii="Calibri" w:hAnsi="Calibri"/>
                <w:color w:val="282C29"/>
                <w:sz w:val="18"/>
              </w:rPr>
              <w:t>October 2026</w:t>
            </w:r>
          </w:p>
        </w:tc>
        <w:tc>
          <w:tcPr>
            <w:tcW w:type="dxa" w:w="2592"/>
            <w:shd w:fill="FFFFFF"/>
            <w:tcMar>
              <w:top w:w="100" w:type="dxa"/>
              <w:bottom w:w="100" w:type="dxa"/>
              <w:left w:w="160" w:type="dxa"/>
              <w:right w:w="160" w:type="dxa"/>
            </w:tcMar>
          </w:tcPr>
          <w:p>
            <w:pPr>
              <w:jc w:val="left"/>
            </w:pPr>
            <w:r>
              <w:rPr>
                <w:rFonts w:ascii="Calibri" w:hAnsi="Calibri"/>
                <w:color w:val="282C29"/>
                <w:sz w:val="18"/>
              </w:rPr>
              <w:t>Tier 2 Registered</w:t>
            </w:r>
          </w:p>
        </w:tc>
        <w:tc>
          <w:tcPr>
            <w:tcW w:type="dxa" w:w="1728"/>
            <w:shd w:fill="FFFFFF"/>
            <w:tcMar>
              <w:top w:w="100" w:type="dxa"/>
              <w:bottom w:w="100" w:type="dxa"/>
              <w:left w:w="160" w:type="dxa"/>
              <w:right w:w="160" w:type="dxa"/>
            </w:tcMar>
          </w:tcPr>
          <w:p>
            <w:pPr>
              <w:jc w:val="left"/>
            </w:pPr>
            <w:r>
              <w:rPr>
                <w:rFonts w:ascii="Calibri" w:hAnsi="Calibri"/>
                <w:color w:val="282C29"/>
                <w:sz w:val="18"/>
              </w:rPr>
              <w:t>Active Diligence</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EXECUTIVE SUMMARY &amp; STRATEGIC THESIS</w:t>
              <w:br/>
            </w:r>
            <w:r>
              <w:rPr>
                <w:rFonts w:ascii="Georgia" w:hAnsi="Georgia"/>
                <w:i/>
                <w:color w:val="19382D"/>
                <w:sz w:val="19"/>
              </w:rPr>
              <w:t>Jonik Ndovu Farm is a hospitality-led agro-tourism destination in Segera, Laikipia County, Kenya. The project combines 12–15 boutique low-impact accommodation suites with authentic permaculture, culinary farm-to-table dining, and nature-based guest activities. The starting 8 hectares are already owned; the capital requirement is US$2.4 million in total, which includes funding the acquisition of approximately 7 additional adjacent hectares to secure an ultimate 15-hectare footprint.</w:t>
            </w:r>
          </w:p>
        </w:tc>
      </w:tr>
    </w:tbl>
    <w:p>
      <w:pPr>
        <w:spacing w:before="80" w:after="160"/>
      </w:pPr>
    </w:p>
    <w:p>
      <w:pPr>
        <w:keepNext/>
        <w:spacing w:before="320" w:after="120"/>
      </w:pPr>
      <w:r>
        <w:rPr>
          <w:rFonts w:ascii="Georgia" w:hAnsi="Georgia"/>
          <w:b/>
          <w:color w:val="19382D"/>
          <w:sz w:val="28"/>
        </w:rPr>
        <w:t>1. Core Project Parameters &amp; Baseline Facts</w:t>
      </w:r>
    </w:p>
    <w:p>
      <w:pPr>
        <w:spacing w:before="40" w:after="120" w:line="276" w:lineRule="auto"/>
      </w:pPr>
      <w:r>
        <w:t>The following project parameters represent the verified and developer-surveyed baseline facts for Jonik Ndovu Farm. Located in the Segera sector of Laikipia, the property borders major neighboring wildlife zones in the Greater Ewaso ecosystem, including the globally celebrated Lewa Wildlife Conservancy and Ol Pejeta Conservancy—internationally recognized strongholds for rhinos and large predators.</w:t>
      </w:r>
    </w:p>
    <w:tbl>
      <w:tblPr>
        <w:tblW w:type="auto" w:w="0"/>
        <w:jc w:val="center"/>
        <w:tblLayout w:type="fixed"/>
        <w:tblLook w:firstColumn="1" w:firstRow="1" w:lastColumn="0" w:lastRow="0" w:noHBand="0" w:noVBand="1" w:val="04A0"/>
      </w:tblPr>
      <w:tblGrid>
        <w:gridCol w:w="3264"/>
        <w:gridCol w:w="3264"/>
        <w:gridCol w:w="3264"/>
      </w:tblGrid>
      <w:tr>
        <w:tc>
          <w:tcPr>
            <w:tcW w:type="dxa" w:w="2592"/>
            <w:shd w:fill="19382D"/>
            <w:tcMar>
              <w:top w:w="140" w:type="dxa"/>
              <w:bottom w:w="140" w:type="dxa"/>
              <w:left w:w="180" w:type="dxa"/>
              <w:right w:w="180" w:type="dxa"/>
            </w:tcMar>
          </w:tcPr>
          <w:p>
            <w:pPr>
              <w:jc w:val="left"/>
            </w:pPr>
            <w:r>
              <w:rPr>
                <w:rFonts w:ascii="Calibri" w:hAnsi="Calibri"/>
                <w:b/>
                <w:color w:val="F7F4EC"/>
                <w:sz w:val="19"/>
              </w:rPr>
              <w:t>Project Parameter</w:t>
            </w:r>
          </w:p>
        </w:tc>
        <w:tc>
          <w:tcPr>
            <w:tcW w:type="dxa" w:w="2592"/>
            <w:shd w:fill="19382D"/>
            <w:tcMar>
              <w:top w:w="140" w:type="dxa"/>
              <w:bottom w:w="140" w:type="dxa"/>
              <w:left w:w="180" w:type="dxa"/>
              <w:right w:w="180" w:type="dxa"/>
            </w:tcMar>
          </w:tcPr>
          <w:p>
            <w:pPr>
              <w:jc w:val="left"/>
            </w:pPr>
            <w:r>
              <w:rPr>
                <w:rFonts w:ascii="Calibri" w:hAnsi="Calibri"/>
                <w:b/>
                <w:color w:val="F7F4EC"/>
                <w:sz w:val="19"/>
              </w:rPr>
              <w:t>Verified Value</w:t>
            </w:r>
          </w:p>
        </w:tc>
        <w:tc>
          <w:tcPr>
            <w:tcW w:type="dxa" w:w="4608"/>
            <w:shd w:fill="19382D"/>
            <w:tcMar>
              <w:top w:w="140" w:type="dxa"/>
              <w:bottom w:w="140" w:type="dxa"/>
              <w:left w:w="180" w:type="dxa"/>
              <w:right w:w="180" w:type="dxa"/>
            </w:tcMar>
          </w:tcPr>
          <w:p>
            <w:pPr>
              <w:jc w:val="left"/>
            </w:pPr>
            <w:r>
              <w:rPr>
                <w:rFonts w:ascii="Calibri" w:hAnsi="Calibri"/>
                <w:b/>
                <w:color w:val="F7F4EC"/>
                <w:sz w:val="19"/>
              </w:rPr>
              <w:t>Strategic Notes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Project Name</w:t>
            </w:r>
          </w:p>
        </w:tc>
        <w:tc>
          <w:tcPr>
            <w:tcW w:type="dxa" w:w="2592"/>
            <w:shd w:fill="FFFFFF"/>
            <w:tcMar>
              <w:top w:w="100" w:type="dxa"/>
              <w:bottom w:w="100" w:type="dxa"/>
              <w:left w:w="160" w:type="dxa"/>
              <w:right w:w="160" w:type="dxa"/>
            </w:tcMar>
          </w:tcPr>
          <w:p>
            <w:pPr>
              <w:jc w:val="left"/>
            </w:pPr>
            <w:r>
              <w:rPr>
                <w:rFonts w:ascii="Calibri" w:hAnsi="Calibri"/>
                <w:color w:val="282C29"/>
                <w:sz w:val="18"/>
              </w:rPr>
              <w:t>Jonik Ndovu Farm</w:t>
            </w:r>
          </w:p>
        </w:tc>
        <w:tc>
          <w:tcPr>
            <w:tcW w:type="dxa" w:w="4608"/>
            <w:shd w:fill="FFFFFF"/>
            <w:tcMar>
              <w:top w:w="100" w:type="dxa"/>
              <w:bottom w:w="100" w:type="dxa"/>
              <w:left w:w="160" w:type="dxa"/>
              <w:right w:w="160" w:type="dxa"/>
            </w:tcMar>
          </w:tcPr>
          <w:p>
            <w:pPr>
              <w:jc w:val="left"/>
            </w:pPr>
            <w:r>
              <w:rPr>
                <w:rFonts w:ascii="Calibri" w:hAnsi="Calibri"/>
                <w:color w:val="282C29"/>
                <w:sz w:val="18"/>
              </w:rPr>
              <w:t>Distinctive hospitality-led agro-tourism destination.</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Location</w:t>
            </w:r>
          </w:p>
        </w:tc>
        <w:tc>
          <w:tcPr>
            <w:tcW w:type="dxa" w:w="2592"/>
            <w:shd w:fill="FAF8F5"/>
            <w:tcMar>
              <w:top w:w="100" w:type="dxa"/>
              <w:bottom w:w="100" w:type="dxa"/>
              <w:left w:w="160" w:type="dxa"/>
              <w:right w:w="160" w:type="dxa"/>
            </w:tcMar>
          </w:tcPr>
          <w:p>
            <w:pPr>
              <w:jc w:val="left"/>
            </w:pPr>
            <w:r>
              <w:rPr>
                <w:rFonts w:ascii="Calibri" w:hAnsi="Calibri"/>
                <w:color w:val="282C29"/>
                <w:sz w:val="18"/>
              </w:rPr>
              <w:t>Segera, Laikipia County, Kenya</w:t>
            </w:r>
          </w:p>
        </w:tc>
        <w:tc>
          <w:tcPr>
            <w:tcW w:type="dxa" w:w="4608"/>
            <w:shd w:fill="FAF8F5"/>
            <w:tcMar>
              <w:top w:w="100" w:type="dxa"/>
              <w:bottom w:w="100" w:type="dxa"/>
              <w:left w:w="160" w:type="dxa"/>
              <w:right w:w="160" w:type="dxa"/>
            </w:tcMar>
          </w:tcPr>
          <w:p>
            <w:pPr>
              <w:jc w:val="left"/>
            </w:pPr>
            <w:r>
              <w:rPr>
                <w:rFonts w:ascii="Calibri" w:hAnsi="Calibri"/>
                <w:color w:val="282C29"/>
                <w:sz w:val="18"/>
              </w:rPr>
              <w:t>Adjacent to Greater Ewaso corridor, ~1,800m elevation.</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Capital Requirement</w:t>
            </w:r>
          </w:p>
        </w:tc>
        <w:tc>
          <w:tcPr>
            <w:tcW w:type="dxa" w:w="2592"/>
            <w:shd w:fill="FFFFFF"/>
            <w:tcMar>
              <w:top w:w="100" w:type="dxa"/>
              <w:bottom w:w="100" w:type="dxa"/>
              <w:left w:w="160" w:type="dxa"/>
              <w:right w:w="160" w:type="dxa"/>
            </w:tcMar>
          </w:tcPr>
          <w:p>
            <w:pPr>
              <w:jc w:val="left"/>
            </w:pPr>
            <w:r>
              <w:rPr>
                <w:rFonts w:ascii="Calibri" w:hAnsi="Calibri"/>
                <w:color w:val="282C29"/>
                <w:sz w:val="18"/>
              </w:rPr>
              <w:t>US$2.4 Million Total</w:t>
            </w:r>
          </w:p>
        </w:tc>
        <w:tc>
          <w:tcPr>
            <w:tcW w:type="dxa" w:w="4608"/>
            <w:shd w:fill="FFFFFF"/>
            <w:tcMar>
              <w:top w:w="100" w:type="dxa"/>
              <w:bottom w:w="100" w:type="dxa"/>
              <w:left w:w="160" w:type="dxa"/>
              <w:right w:w="160" w:type="dxa"/>
            </w:tcMar>
          </w:tcPr>
          <w:p>
            <w:pPr>
              <w:jc w:val="left"/>
            </w:pPr>
            <w:r>
              <w:rPr>
                <w:rFonts w:ascii="Calibri" w:hAnsi="Calibri"/>
                <w:color w:val="282C29"/>
                <w:sz w:val="18"/>
              </w:rPr>
              <w:t>Inclusive of ~7 ha land purchase, civil works &amp; contingency.</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Existing Landholding</w:t>
            </w:r>
          </w:p>
        </w:tc>
        <w:tc>
          <w:tcPr>
            <w:tcW w:type="dxa" w:w="2592"/>
            <w:shd w:fill="FAF8F5"/>
            <w:tcMar>
              <w:top w:w="100" w:type="dxa"/>
              <w:bottom w:w="100" w:type="dxa"/>
              <w:left w:w="160" w:type="dxa"/>
              <w:right w:w="160" w:type="dxa"/>
            </w:tcMar>
          </w:tcPr>
          <w:p>
            <w:pPr>
              <w:jc w:val="left"/>
            </w:pPr>
            <w:r>
              <w:rPr>
                <w:rFonts w:ascii="Calibri" w:hAnsi="Calibri"/>
                <w:color w:val="282C29"/>
                <w:sz w:val="18"/>
              </w:rPr>
              <w:t>8.0 Hectares (19.8 Acres)</w:t>
            </w:r>
          </w:p>
        </w:tc>
        <w:tc>
          <w:tcPr>
            <w:tcW w:type="dxa" w:w="4608"/>
            <w:shd w:fill="FAF8F5"/>
            <w:tcMar>
              <w:top w:w="100" w:type="dxa"/>
              <w:bottom w:w="100" w:type="dxa"/>
              <w:left w:w="160" w:type="dxa"/>
              <w:right w:w="160" w:type="dxa"/>
            </w:tcMar>
          </w:tcPr>
          <w:p>
            <w:pPr>
              <w:jc w:val="left"/>
            </w:pPr>
            <w:r>
              <w:rPr>
                <w:rFonts w:ascii="Calibri" w:hAnsi="Calibri"/>
                <w:color w:val="282C29"/>
                <w:sz w:val="18"/>
              </w:rPr>
              <w:t>Already purchased and owned by project sponsors.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Proposed Acquisition</w:t>
            </w:r>
          </w:p>
        </w:tc>
        <w:tc>
          <w:tcPr>
            <w:tcW w:type="dxa" w:w="2592"/>
            <w:shd w:fill="FFFFFF"/>
            <w:tcMar>
              <w:top w:w="100" w:type="dxa"/>
              <w:bottom w:w="100" w:type="dxa"/>
              <w:left w:w="160" w:type="dxa"/>
              <w:right w:w="160" w:type="dxa"/>
            </w:tcMar>
          </w:tcPr>
          <w:p>
            <w:pPr>
              <w:jc w:val="left"/>
            </w:pPr>
            <w:r>
              <w:rPr>
                <w:rFonts w:ascii="Calibri" w:hAnsi="Calibri"/>
                <w:color w:val="282C29"/>
                <w:sz w:val="18"/>
              </w:rPr>
              <w:t>~7.0 Hectares (17.3 Acres)</w:t>
            </w:r>
          </w:p>
        </w:tc>
        <w:tc>
          <w:tcPr>
            <w:tcW w:type="dxa" w:w="4608"/>
            <w:shd w:fill="FFFFFF"/>
            <w:tcMar>
              <w:top w:w="100" w:type="dxa"/>
              <w:bottom w:w="100" w:type="dxa"/>
              <w:left w:w="160" w:type="dxa"/>
              <w:right w:w="160" w:type="dxa"/>
            </w:tcMar>
          </w:tcPr>
          <w:p>
            <w:pPr>
              <w:jc w:val="left"/>
            </w:pPr>
            <w:r>
              <w:rPr>
                <w:rFonts w:ascii="Calibri" w:hAnsi="Calibri"/>
                <w:color w:val="282C29"/>
                <w:sz w:val="18"/>
              </w:rPr>
              <w:t>Currently in negotiation; subject to contract &amp; clean title.</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Ultimate Footprint</w:t>
            </w:r>
          </w:p>
        </w:tc>
        <w:tc>
          <w:tcPr>
            <w:tcW w:type="dxa" w:w="2592"/>
            <w:shd w:fill="FAF8F5"/>
            <w:tcMar>
              <w:top w:w="100" w:type="dxa"/>
              <w:bottom w:w="100" w:type="dxa"/>
              <w:left w:w="160" w:type="dxa"/>
              <w:right w:w="160" w:type="dxa"/>
            </w:tcMar>
          </w:tcPr>
          <w:p>
            <w:pPr>
              <w:jc w:val="left"/>
            </w:pPr>
            <w:r>
              <w:rPr>
                <w:rFonts w:ascii="Calibri" w:hAnsi="Calibri"/>
                <w:color w:val="282C29"/>
                <w:sz w:val="18"/>
              </w:rPr>
              <w:t>~15.0 Hectares (37.1 Acres)</w:t>
            </w:r>
          </w:p>
        </w:tc>
        <w:tc>
          <w:tcPr>
            <w:tcW w:type="dxa" w:w="4608"/>
            <w:shd w:fill="FAF8F5"/>
            <w:tcMar>
              <w:top w:w="100" w:type="dxa"/>
              <w:bottom w:w="100" w:type="dxa"/>
              <w:left w:w="160" w:type="dxa"/>
              <w:right w:w="160" w:type="dxa"/>
            </w:tcMar>
          </w:tcPr>
          <w:p>
            <w:pPr>
              <w:jc w:val="left"/>
            </w:pPr>
            <w:r>
              <w:rPr>
                <w:rFonts w:ascii="Calibri" w:hAnsi="Calibri"/>
                <w:color w:val="282C29"/>
                <w:sz w:val="18"/>
              </w:rPr>
              <w:t>Consolidated agricultural &amp; conservation guest landscape.</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Accommodation Scale</w:t>
            </w:r>
          </w:p>
        </w:tc>
        <w:tc>
          <w:tcPr>
            <w:tcW w:type="dxa" w:w="2592"/>
            <w:shd w:fill="FFFFFF"/>
            <w:tcMar>
              <w:top w:w="100" w:type="dxa"/>
              <w:bottom w:w="100" w:type="dxa"/>
              <w:left w:w="160" w:type="dxa"/>
              <w:right w:w="160" w:type="dxa"/>
            </w:tcMar>
          </w:tcPr>
          <w:p>
            <w:pPr>
              <w:jc w:val="left"/>
            </w:pPr>
            <w:r>
              <w:rPr>
                <w:rFonts w:ascii="Calibri" w:hAnsi="Calibri"/>
                <w:color w:val="282C29"/>
                <w:sz w:val="18"/>
              </w:rPr>
              <w:t>12–15 Boutique Suites</w:t>
            </w:r>
          </w:p>
        </w:tc>
        <w:tc>
          <w:tcPr>
            <w:tcW w:type="dxa" w:w="4608"/>
            <w:shd w:fill="FFFFFF"/>
            <w:tcMar>
              <w:top w:w="100" w:type="dxa"/>
              <w:bottom w:w="100" w:type="dxa"/>
              <w:left w:w="160" w:type="dxa"/>
              <w:right w:w="160" w:type="dxa"/>
            </w:tcMar>
          </w:tcPr>
          <w:p>
            <w:pPr>
              <w:jc w:val="left"/>
            </w:pPr>
            <w:r>
              <w:rPr>
                <w:rFonts w:ascii="Calibri" w:hAnsi="Calibri"/>
                <w:color w:val="282C29"/>
                <w:sz w:val="18"/>
              </w:rPr>
              <w:t>Low-density eco-pavilions hosting maximum 24–30 guests.</w:t>
            </w:r>
          </w:p>
        </w:tc>
      </w:tr>
      <w:tr>
        <w:tc>
          <w:tcPr>
            <w:tcW w:type="dxa" w:w="2592"/>
            <w:shd w:fill="FAF8F5"/>
            <w:tcMar>
              <w:top w:w="100" w:type="dxa"/>
              <w:bottom w:w="100" w:type="dxa"/>
              <w:left w:w="160" w:type="dxa"/>
              <w:right w:w="160" w:type="dxa"/>
            </w:tcMar>
          </w:tcPr>
          <w:p>
            <w:pPr>
              <w:jc w:val="left"/>
            </w:pPr>
            <w:r>
              <w:rPr>
                <w:rFonts w:ascii="Calibri" w:hAnsi="Calibri"/>
                <w:color w:val="282C29"/>
                <w:sz w:val="18"/>
              </w:rPr>
              <w:t>Primary Commercial Driver</w:t>
            </w:r>
          </w:p>
        </w:tc>
        <w:tc>
          <w:tcPr>
            <w:tcW w:type="dxa" w:w="2592"/>
            <w:shd w:fill="FAF8F5"/>
            <w:tcMar>
              <w:top w:w="100" w:type="dxa"/>
              <w:bottom w:w="100" w:type="dxa"/>
              <w:left w:w="160" w:type="dxa"/>
              <w:right w:w="160" w:type="dxa"/>
            </w:tcMar>
          </w:tcPr>
          <w:p>
            <w:pPr>
              <w:jc w:val="left"/>
            </w:pPr>
            <w:r>
              <w:rPr>
                <w:rFonts w:ascii="Calibri" w:hAnsi="Calibri"/>
                <w:color w:val="282C29"/>
                <w:sz w:val="18"/>
              </w:rPr>
              <w:t>Boutique Hospitality</w:t>
            </w:r>
          </w:p>
        </w:tc>
        <w:tc>
          <w:tcPr>
            <w:tcW w:type="dxa" w:w="4608"/>
            <w:shd w:fill="FAF8F5"/>
            <w:tcMar>
              <w:top w:w="100" w:type="dxa"/>
              <w:bottom w:w="100" w:type="dxa"/>
              <w:left w:w="160" w:type="dxa"/>
              <w:right w:w="160" w:type="dxa"/>
            </w:tcMar>
          </w:tcPr>
          <w:p>
            <w:pPr>
              <w:jc w:val="left"/>
            </w:pPr>
            <w:r>
              <w:rPr>
                <w:rFonts w:ascii="Calibri" w:hAnsi="Calibri"/>
                <w:color w:val="282C29"/>
                <w:sz w:val="18"/>
              </w:rPr>
              <w:t>High-yield room rates, dining covers, wellness &amp; retreats.</w:t>
            </w:r>
          </w:p>
        </w:tc>
      </w:tr>
      <w:tr>
        <w:tc>
          <w:tcPr>
            <w:tcW w:type="dxa" w:w="2592"/>
            <w:shd w:fill="FFFFFF"/>
            <w:tcMar>
              <w:top w:w="100" w:type="dxa"/>
              <w:bottom w:w="100" w:type="dxa"/>
              <w:left w:w="160" w:type="dxa"/>
              <w:right w:w="160" w:type="dxa"/>
            </w:tcMar>
          </w:tcPr>
          <w:p>
            <w:pPr>
              <w:jc w:val="left"/>
            </w:pPr>
            <w:r>
              <w:rPr>
                <w:rFonts w:ascii="Calibri" w:hAnsi="Calibri"/>
                <w:color w:val="282C29"/>
                <w:sz w:val="18"/>
              </w:rPr>
              <w:t>Agricultural Role</w:t>
            </w:r>
          </w:p>
        </w:tc>
        <w:tc>
          <w:tcPr>
            <w:tcW w:type="dxa" w:w="2592"/>
            <w:shd w:fill="FFFFFF"/>
            <w:tcMar>
              <w:top w:w="100" w:type="dxa"/>
              <w:bottom w:w="100" w:type="dxa"/>
              <w:left w:w="160" w:type="dxa"/>
              <w:right w:w="160" w:type="dxa"/>
            </w:tcMar>
          </w:tcPr>
          <w:p>
            <w:pPr>
              <w:jc w:val="left"/>
            </w:pPr>
            <w:r>
              <w:rPr>
                <w:rFonts w:ascii="Calibri" w:hAnsi="Calibri"/>
                <w:color w:val="282C29"/>
                <w:sz w:val="18"/>
              </w:rPr>
              <w:t>Permaculture &amp; Guest Narrative</w:t>
            </w:r>
          </w:p>
        </w:tc>
        <w:tc>
          <w:tcPr>
            <w:tcW w:type="dxa" w:w="4608"/>
            <w:shd w:fill="FFFFFF"/>
            <w:tcMar>
              <w:top w:w="100" w:type="dxa"/>
              <w:bottom w:w="100" w:type="dxa"/>
              <w:left w:w="160" w:type="dxa"/>
              <w:right w:w="160" w:type="dxa"/>
            </w:tcMar>
          </w:tcPr>
          <w:p>
            <w:pPr>
              <w:jc w:val="left"/>
            </w:pPr>
            <w:r>
              <w:rPr>
                <w:rFonts w:ascii="Calibri" w:hAnsi="Calibri"/>
                <w:color w:val="282C29"/>
                <w:sz w:val="18"/>
              </w:rPr>
              <w:t>Differentiates guest journey, provides culinary supply &amp; landscape.</w:t>
            </w:r>
          </w:p>
        </w:tc>
      </w:tr>
      <w:tr>
        <w:tc>
          <w:tcPr>
            <w:tcW w:type="dxa" w:w="3264"/>
            <w:tcMar>
              <w:top w:w="80" w:type="dxa"/>
              <w:bottom w:w="80" w:type="dxa"/>
              <w:left w:w="120" w:type="dxa"/>
              <w:right w:w="120" w:type="dxa"/>
            </w:tcMar>
          </w:tcPr>
          <w:p>
            <w:pPr>
              <w:spacing w:before="40" w:after="40"/>
            </w:pPr>
            <w:r>
              <w:rPr>
                <w:rFonts w:ascii="Arial" w:hAnsi="Arial"/>
                <w:sz w:val="17"/>
              </w:rPr>
              <w:t>Nearby Conservancies</w:t>
            </w:r>
          </w:p>
        </w:tc>
        <w:tc>
          <w:tcPr>
            <w:tcW w:type="dxa" w:w="3264"/>
            <w:tcMar>
              <w:top w:w="80" w:type="dxa"/>
              <w:bottom w:w="80" w:type="dxa"/>
              <w:left w:w="120" w:type="dxa"/>
              <w:right w:w="120" w:type="dxa"/>
            </w:tcMar>
          </w:tcPr>
          <w:p>
            <w:pPr>
              <w:spacing w:before="40" w:after="40"/>
            </w:pPr>
            <w:r>
              <w:rPr>
                <w:rFonts w:ascii="Arial" w:hAnsi="Arial"/>
                <w:sz w:val="17"/>
              </w:rPr>
              <w:t>Borders Lewa Wildlife Conservancy (UNESCO rhino stronghold) and Ol Pejeta Conservancy (East Africa's largest black rhino sanctuary &amp; apex predators)</w:t>
            </w:r>
          </w:p>
        </w:tc>
        <w:tc>
          <w:tcPr>
            <w:tcW w:type="dxa" w:w="3264"/>
            <w:tcMar>
              <w:top w:w="80" w:type="dxa"/>
              <w:bottom w:w="80" w:type="dxa"/>
              <w:left w:w="120" w:type="dxa"/>
              <w:right w:w="120" w:type="dxa"/>
            </w:tcMar>
          </w:tcPr>
          <w:p>
            <w:pPr>
              <w:spacing w:before="40" w:after="40"/>
            </w:pP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SUPERSEDED FIGURES RECONCILIATION NOTE</w:t>
              <w:br/>
            </w:r>
            <w:r>
              <w:rPr>
                <w:rFonts w:ascii="Georgia" w:hAnsi="Georgia"/>
                <w:i/>
                <w:color w:val="19382D"/>
                <w:sz w:val="19"/>
              </w:rPr>
              <w:t>Earlier preliminary working drafts referencing 24 keys or US$10.8 million of capital are superseded and erroneous. The verified project scale is 12–15 boutique suites within a US$2.4 million total budget.</w:t>
            </w:r>
          </w:p>
        </w:tc>
      </w:tr>
    </w:tbl>
    <w:p>
      <w:pPr>
        <w:spacing w:before="80" w:after="160"/>
      </w:pPr>
    </w:p>
    <w:p>
      <w:pPr>
        <w:keepNext/>
        <w:spacing w:before="320" w:after="120"/>
      </w:pPr>
      <w:r>
        <w:rPr>
          <w:rFonts w:ascii="Georgia" w:hAnsi="Georgia"/>
          <w:b/>
          <w:color w:val="19382D"/>
          <w:sz w:val="28"/>
        </w:rPr>
        <w:t>2. Capital Allocation &amp; Sources / Uses Framework</w:t>
      </w:r>
    </w:p>
    <w:p>
      <w:pPr>
        <w:spacing w:before="40" w:after="120" w:line="276" w:lineRule="auto"/>
      </w:pPr>
      <w:r>
        <w:rPr>
          <w:rFonts w:ascii="Calibri" w:hAnsi="Calibri"/>
          <w:color w:val="282C29"/>
          <w:sz w:val="20"/>
        </w:rPr>
        <w:t>The proposed US$2.4 million capital requirement is carefully disciplined to achieve complete operational viability and brand excellence while minimizing upfront dilution and construction drag:</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456"/>
            <w:shd w:fill="19382D"/>
            <w:tcMar>
              <w:top w:w="140" w:type="dxa"/>
              <w:bottom w:w="140" w:type="dxa"/>
              <w:left w:w="180" w:type="dxa"/>
              <w:right w:w="180" w:type="dxa"/>
            </w:tcMar>
          </w:tcPr>
          <w:p>
            <w:pPr>
              <w:jc w:val="left"/>
            </w:pPr>
            <w:r>
              <w:rPr>
                <w:rFonts w:ascii="Calibri" w:hAnsi="Calibri"/>
                <w:b/>
                <w:color w:val="F7F4EC"/>
                <w:sz w:val="19"/>
              </w:rPr>
              <w:t>Capital Expenditure Category</w:t>
            </w:r>
          </w:p>
        </w:tc>
        <w:tc>
          <w:tcPr>
            <w:tcW w:type="dxa" w:w="1728"/>
            <w:shd w:fill="19382D"/>
            <w:tcMar>
              <w:top w:w="140" w:type="dxa"/>
              <w:bottom w:w="140" w:type="dxa"/>
              <w:left w:w="180" w:type="dxa"/>
              <w:right w:w="180" w:type="dxa"/>
            </w:tcMar>
          </w:tcPr>
          <w:p>
            <w:pPr>
              <w:jc w:val="left"/>
            </w:pPr>
            <w:r>
              <w:rPr>
                <w:rFonts w:ascii="Calibri" w:hAnsi="Calibri"/>
                <w:b/>
                <w:color w:val="F7F4EC"/>
                <w:sz w:val="19"/>
              </w:rPr>
              <w:t>Allocation (US$)</w:t>
            </w:r>
          </w:p>
        </w:tc>
        <w:tc>
          <w:tcPr>
            <w:tcW w:type="dxa" w:w="1152"/>
            <w:shd w:fill="19382D"/>
            <w:tcMar>
              <w:top w:w="140" w:type="dxa"/>
              <w:bottom w:w="140" w:type="dxa"/>
              <w:left w:w="180" w:type="dxa"/>
              <w:right w:w="180" w:type="dxa"/>
            </w:tcMar>
          </w:tcPr>
          <w:p>
            <w:pPr>
              <w:jc w:val="left"/>
            </w:pPr>
            <w:r>
              <w:rPr>
                <w:rFonts w:ascii="Calibri" w:hAnsi="Calibri"/>
                <w:b/>
                <w:color w:val="F7F4EC"/>
                <w:sz w:val="19"/>
              </w:rPr>
              <w:t>Share (%)</w:t>
            </w:r>
          </w:p>
        </w:tc>
        <w:tc>
          <w:tcPr>
            <w:tcW w:type="dxa" w:w="3456"/>
            <w:shd w:fill="19382D"/>
            <w:tcMar>
              <w:top w:w="140" w:type="dxa"/>
              <w:bottom w:w="140" w:type="dxa"/>
              <w:left w:w="180" w:type="dxa"/>
              <w:right w:w="180" w:type="dxa"/>
            </w:tcMar>
          </w:tcPr>
          <w:p>
            <w:pPr>
              <w:jc w:val="left"/>
            </w:pPr>
            <w:r>
              <w:rPr>
                <w:rFonts w:ascii="Calibri" w:hAnsi="Calibri"/>
                <w:b/>
                <w:color w:val="F7F4EC"/>
                <w:sz w:val="19"/>
              </w:rPr>
              <w:t>Scope &amp; Deliverables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Land Acquisition &amp; Legal Transfer (~7 ha)</w:t>
            </w:r>
          </w:p>
        </w:tc>
        <w:tc>
          <w:tcPr>
            <w:tcW w:type="dxa" w:w="1728"/>
            <w:shd w:fill="FFFFFF"/>
            <w:tcMar>
              <w:top w:w="100" w:type="dxa"/>
              <w:bottom w:w="100" w:type="dxa"/>
              <w:left w:w="160" w:type="dxa"/>
              <w:right w:w="160" w:type="dxa"/>
            </w:tcMar>
          </w:tcPr>
          <w:p>
            <w:pPr>
              <w:jc w:val="left"/>
            </w:pPr>
            <w:r>
              <w:rPr>
                <w:rFonts w:ascii="Calibri" w:hAnsi="Calibri"/>
                <w:color w:val="282C29"/>
                <w:sz w:val="18"/>
              </w:rPr>
              <w:t>$320,000</w:t>
            </w:r>
          </w:p>
        </w:tc>
        <w:tc>
          <w:tcPr>
            <w:tcW w:type="dxa" w:w="1152"/>
            <w:shd w:fill="FFFFFF"/>
            <w:tcMar>
              <w:top w:w="100" w:type="dxa"/>
              <w:bottom w:w="100" w:type="dxa"/>
              <w:left w:w="160" w:type="dxa"/>
              <w:right w:w="160" w:type="dxa"/>
            </w:tcMar>
          </w:tcPr>
          <w:p>
            <w:pPr>
              <w:jc w:val="left"/>
            </w:pPr>
            <w:r>
              <w:rPr>
                <w:rFonts w:ascii="Calibri" w:hAnsi="Calibri"/>
                <w:color w:val="282C29"/>
                <w:sz w:val="18"/>
              </w:rPr>
              <w:t>13.3%</w:t>
            </w:r>
          </w:p>
        </w:tc>
        <w:tc>
          <w:tcPr>
            <w:tcW w:type="dxa" w:w="3456"/>
            <w:shd w:fill="FFFFFF"/>
            <w:tcMar>
              <w:top w:w="100" w:type="dxa"/>
              <w:bottom w:w="100" w:type="dxa"/>
              <w:left w:w="160" w:type="dxa"/>
              <w:right w:w="160" w:type="dxa"/>
            </w:tcMar>
          </w:tcPr>
          <w:p>
            <w:pPr>
              <w:jc w:val="left"/>
            </w:pPr>
            <w:r>
              <w:rPr>
                <w:rFonts w:ascii="Calibri" w:hAnsi="Calibri"/>
                <w:color w:val="282C29"/>
                <w:sz w:val="18"/>
              </w:rPr>
              <w:t>Adjacent parcel purchase, conveyancing, stamp duty, boundary surveys.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Solar-Hybrid Microgrid &amp; Energy Storage</w:t>
            </w:r>
          </w:p>
        </w:tc>
        <w:tc>
          <w:tcPr>
            <w:tcW w:type="dxa" w:w="1728"/>
            <w:shd w:fill="FAF8F5"/>
            <w:tcMar>
              <w:top w:w="100" w:type="dxa"/>
              <w:bottom w:w="100" w:type="dxa"/>
              <w:left w:w="160" w:type="dxa"/>
              <w:right w:w="160" w:type="dxa"/>
            </w:tcMar>
          </w:tcPr>
          <w:p>
            <w:pPr>
              <w:jc w:val="left"/>
            </w:pPr>
            <w:r>
              <w:rPr>
                <w:rFonts w:ascii="Calibri" w:hAnsi="Calibri"/>
                <w:color w:val="282C29"/>
                <w:sz w:val="18"/>
              </w:rPr>
              <w:t>$160,000</w:t>
            </w:r>
          </w:p>
        </w:tc>
        <w:tc>
          <w:tcPr>
            <w:tcW w:type="dxa" w:w="1152"/>
            <w:shd w:fill="FAF8F5"/>
            <w:tcMar>
              <w:top w:w="100" w:type="dxa"/>
              <w:bottom w:w="100" w:type="dxa"/>
              <w:left w:w="160" w:type="dxa"/>
              <w:right w:w="160" w:type="dxa"/>
            </w:tcMar>
          </w:tcPr>
          <w:p>
            <w:pPr>
              <w:jc w:val="left"/>
            </w:pPr>
            <w:r>
              <w:rPr>
                <w:rFonts w:ascii="Calibri" w:hAnsi="Calibri"/>
                <w:color w:val="282C29"/>
                <w:sz w:val="18"/>
              </w:rPr>
              <w:t>6.7%</w:t>
            </w:r>
          </w:p>
        </w:tc>
        <w:tc>
          <w:tcPr>
            <w:tcW w:type="dxa" w:w="3456"/>
            <w:shd w:fill="FAF8F5"/>
            <w:tcMar>
              <w:top w:w="100" w:type="dxa"/>
              <w:bottom w:w="100" w:type="dxa"/>
              <w:left w:w="160" w:type="dxa"/>
              <w:right w:w="160" w:type="dxa"/>
            </w:tcMar>
          </w:tcPr>
          <w:p>
            <w:pPr>
              <w:jc w:val="left"/>
            </w:pPr>
            <w:r>
              <w:rPr>
                <w:rFonts w:ascii="Calibri" w:hAnsi="Calibri"/>
                <w:color w:val="282C29"/>
                <w:sz w:val="18"/>
              </w:rPr>
              <w:t>60 kWp solar PV array, 120 kWh LiFePO4 battery storage, smart inverters.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Circular Biogas Plant &amp; Waste-to-Energy</w:t>
            </w:r>
          </w:p>
        </w:tc>
        <w:tc>
          <w:tcPr>
            <w:tcW w:type="dxa" w:w="1728"/>
            <w:shd w:fill="FFFFFF"/>
            <w:tcMar>
              <w:top w:w="100" w:type="dxa"/>
              <w:bottom w:w="100" w:type="dxa"/>
              <w:left w:w="160" w:type="dxa"/>
              <w:right w:w="160" w:type="dxa"/>
            </w:tcMar>
          </w:tcPr>
          <w:p>
            <w:pPr>
              <w:jc w:val="left"/>
            </w:pPr>
            <w:r>
              <w:rPr>
                <w:rFonts w:ascii="Calibri" w:hAnsi="Calibri"/>
                <w:color w:val="282C29"/>
                <w:sz w:val="18"/>
              </w:rPr>
              <w:t>$80,000</w:t>
            </w:r>
          </w:p>
        </w:tc>
        <w:tc>
          <w:tcPr>
            <w:tcW w:type="dxa" w:w="1152"/>
            <w:shd w:fill="FFFFFF"/>
            <w:tcMar>
              <w:top w:w="100" w:type="dxa"/>
              <w:bottom w:w="100" w:type="dxa"/>
              <w:left w:w="160" w:type="dxa"/>
              <w:right w:w="160" w:type="dxa"/>
            </w:tcMar>
          </w:tcPr>
          <w:p>
            <w:pPr>
              <w:jc w:val="left"/>
            </w:pPr>
            <w:r>
              <w:rPr>
                <w:rFonts w:ascii="Calibri" w:hAnsi="Calibri"/>
                <w:color w:val="282C29"/>
                <w:sz w:val="18"/>
              </w:rPr>
              <w:t>3.3%</w:t>
            </w:r>
          </w:p>
        </w:tc>
        <w:tc>
          <w:tcPr>
            <w:tcW w:type="dxa" w:w="3456"/>
            <w:shd w:fill="FFFFFF"/>
            <w:tcMar>
              <w:top w:w="100" w:type="dxa"/>
              <w:bottom w:w="100" w:type="dxa"/>
              <w:left w:w="160" w:type="dxa"/>
              <w:right w:w="160" w:type="dxa"/>
            </w:tcMar>
          </w:tcPr>
          <w:p>
            <w:pPr>
              <w:jc w:val="left"/>
            </w:pPr>
            <w:r>
              <w:rPr>
                <w:rFonts w:ascii="Calibri" w:hAnsi="Calibri"/>
                <w:color w:val="282C29"/>
                <w:sz w:val="18"/>
              </w:rPr>
              <w:t>Anaerobic biodigester converting manure &amp; kitchen waste to cooking gas &amp; bio-fertilizer.</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Hydrology, Solar Borehole &amp; Precision Drip</w:t>
            </w:r>
          </w:p>
        </w:tc>
        <w:tc>
          <w:tcPr>
            <w:tcW w:type="dxa" w:w="1728"/>
            <w:shd w:fill="FAF8F5"/>
            <w:tcMar>
              <w:top w:w="100" w:type="dxa"/>
              <w:bottom w:w="100" w:type="dxa"/>
              <w:left w:w="160" w:type="dxa"/>
              <w:right w:w="160" w:type="dxa"/>
            </w:tcMar>
          </w:tcPr>
          <w:p>
            <w:pPr>
              <w:jc w:val="left"/>
            </w:pPr>
            <w:r>
              <w:rPr>
                <w:rFonts w:ascii="Calibri" w:hAnsi="Calibri"/>
                <w:color w:val="282C29"/>
                <w:sz w:val="18"/>
              </w:rPr>
              <w:t>$240,000</w:t>
            </w:r>
          </w:p>
        </w:tc>
        <w:tc>
          <w:tcPr>
            <w:tcW w:type="dxa" w:w="1152"/>
            <w:shd w:fill="FAF8F5"/>
            <w:tcMar>
              <w:top w:w="100" w:type="dxa"/>
              <w:bottom w:w="100" w:type="dxa"/>
              <w:left w:w="160" w:type="dxa"/>
              <w:right w:w="160" w:type="dxa"/>
            </w:tcMar>
          </w:tcPr>
          <w:p>
            <w:pPr>
              <w:jc w:val="left"/>
            </w:pPr>
            <w:r>
              <w:rPr>
                <w:rFonts w:ascii="Calibri" w:hAnsi="Calibri"/>
                <w:color w:val="282C29"/>
                <w:sz w:val="18"/>
              </w:rPr>
              <w:t>10.0%</w:t>
            </w:r>
          </w:p>
        </w:tc>
        <w:tc>
          <w:tcPr>
            <w:tcW w:type="dxa" w:w="3456"/>
            <w:shd w:fill="FAF8F5"/>
            <w:tcMar>
              <w:top w:w="100" w:type="dxa"/>
              <w:bottom w:w="100" w:type="dxa"/>
              <w:left w:w="160" w:type="dxa"/>
              <w:right w:w="160" w:type="dxa"/>
            </w:tcMar>
          </w:tcPr>
          <w:p>
            <w:pPr>
              <w:jc w:val="left"/>
            </w:pPr>
            <w:r>
              <w:rPr>
                <w:rFonts w:ascii="Calibri" w:hAnsi="Calibri"/>
                <w:color w:val="282C29"/>
                <w:sz w:val="18"/>
              </w:rPr>
              <w:t>10k L/hr solar borehole, 200kL storage, 5.3 ha drip irrigation, reed-bed wetlands.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Farmland Landscaping, Swales &amp; Agroforestry</w:t>
            </w:r>
          </w:p>
        </w:tc>
        <w:tc>
          <w:tcPr>
            <w:tcW w:type="dxa" w:w="1728"/>
            <w:shd w:fill="FFFFFF"/>
            <w:tcMar>
              <w:top w:w="100" w:type="dxa"/>
              <w:bottom w:w="100" w:type="dxa"/>
              <w:left w:w="160" w:type="dxa"/>
              <w:right w:w="160" w:type="dxa"/>
            </w:tcMar>
          </w:tcPr>
          <w:p>
            <w:pPr>
              <w:jc w:val="left"/>
            </w:pPr>
            <w:r>
              <w:rPr>
                <w:rFonts w:ascii="Calibri" w:hAnsi="Calibri"/>
                <w:color w:val="282C29"/>
                <w:sz w:val="18"/>
              </w:rPr>
              <w:t>$120,000</w:t>
            </w:r>
          </w:p>
        </w:tc>
        <w:tc>
          <w:tcPr>
            <w:tcW w:type="dxa" w:w="1152"/>
            <w:shd w:fill="FFFFFF"/>
            <w:tcMar>
              <w:top w:w="100" w:type="dxa"/>
              <w:bottom w:w="100" w:type="dxa"/>
              <w:left w:w="160" w:type="dxa"/>
              <w:right w:w="160" w:type="dxa"/>
            </w:tcMar>
          </w:tcPr>
          <w:p>
            <w:pPr>
              <w:jc w:val="left"/>
            </w:pPr>
            <w:r>
              <w:rPr>
                <w:rFonts w:ascii="Calibri" w:hAnsi="Calibri"/>
                <w:color w:val="282C29"/>
                <w:sz w:val="18"/>
              </w:rPr>
              <w:t>5.0%</w:t>
            </w:r>
          </w:p>
        </w:tc>
        <w:tc>
          <w:tcPr>
            <w:tcW w:type="dxa" w:w="3456"/>
            <w:shd w:fill="FFFFFF"/>
            <w:tcMar>
              <w:top w:w="100" w:type="dxa"/>
              <w:bottom w:w="100" w:type="dxa"/>
              <w:left w:w="160" w:type="dxa"/>
              <w:right w:w="160" w:type="dxa"/>
            </w:tcMar>
          </w:tcPr>
          <w:p>
            <w:pPr>
              <w:jc w:val="left"/>
            </w:pPr>
            <w:r>
              <w:rPr>
                <w:rFonts w:ascii="Calibri" w:hAnsi="Calibri"/>
                <w:color w:val="282C29"/>
                <w:sz w:val="18"/>
              </w:rPr>
              <w:t>Contour swales for moisture retention, acacia windbreaks, citrus &amp; avocado orchards.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Animal Structures, Paddocks &amp; Dairy Equipment</w:t>
            </w:r>
          </w:p>
        </w:tc>
        <w:tc>
          <w:tcPr>
            <w:tcW w:type="dxa" w:w="1728"/>
            <w:shd w:fill="FAF8F5"/>
            <w:tcMar>
              <w:top w:w="100" w:type="dxa"/>
              <w:bottom w:w="100" w:type="dxa"/>
              <w:left w:w="160" w:type="dxa"/>
              <w:right w:w="160" w:type="dxa"/>
            </w:tcMar>
          </w:tcPr>
          <w:p>
            <w:pPr>
              <w:jc w:val="left"/>
            </w:pPr>
            <w:r>
              <w:rPr>
                <w:rFonts w:ascii="Calibri" w:hAnsi="Calibri"/>
                <w:color w:val="282C29"/>
                <w:sz w:val="18"/>
              </w:rPr>
              <w:t>$80,000</w:t>
            </w:r>
          </w:p>
        </w:tc>
        <w:tc>
          <w:tcPr>
            <w:tcW w:type="dxa" w:w="1152"/>
            <w:shd w:fill="FAF8F5"/>
            <w:tcMar>
              <w:top w:w="100" w:type="dxa"/>
              <w:bottom w:w="100" w:type="dxa"/>
              <w:left w:w="160" w:type="dxa"/>
              <w:right w:w="160" w:type="dxa"/>
            </w:tcMar>
          </w:tcPr>
          <w:p>
            <w:pPr>
              <w:jc w:val="left"/>
            </w:pPr>
            <w:r>
              <w:rPr>
                <w:rFonts w:ascii="Calibri" w:hAnsi="Calibri"/>
                <w:color w:val="282C29"/>
                <w:sz w:val="18"/>
              </w:rPr>
              <w:t>3.3%</w:t>
            </w:r>
          </w:p>
        </w:tc>
        <w:tc>
          <w:tcPr>
            <w:tcW w:type="dxa" w:w="3456"/>
            <w:shd w:fill="FAF8F5"/>
            <w:tcMar>
              <w:top w:w="100" w:type="dxa"/>
              <w:bottom w:w="100" w:type="dxa"/>
              <w:left w:w="160" w:type="dxa"/>
              <w:right w:w="160" w:type="dxa"/>
            </w:tcMar>
          </w:tcPr>
          <w:p>
            <w:pPr>
              <w:jc w:val="left"/>
            </w:pPr>
            <w:r>
              <w:rPr>
                <w:rFonts w:ascii="Calibri" w:hAnsi="Calibri"/>
                <w:color w:val="282C29"/>
                <w:sz w:val="18"/>
              </w:rPr>
              <w:t>Rotational sheep paddocks, poultry housing, solarized milking dairy unit, 40+ apiary hives.</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Farm Machinery &amp; Clean Electric Fleet</w:t>
            </w:r>
          </w:p>
        </w:tc>
        <w:tc>
          <w:tcPr>
            <w:tcW w:type="dxa" w:w="1728"/>
            <w:shd w:fill="FFFFFF"/>
            <w:tcMar>
              <w:top w:w="100" w:type="dxa"/>
              <w:bottom w:w="100" w:type="dxa"/>
              <w:left w:w="160" w:type="dxa"/>
              <w:right w:w="160" w:type="dxa"/>
            </w:tcMar>
          </w:tcPr>
          <w:p>
            <w:pPr>
              <w:jc w:val="left"/>
            </w:pPr>
            <w:r>
              <w:rPr>
                <w:rFonts w:ascii="Calibri" w:hAnsi="Calibri"/>
                <w:color w:val="282C29"/>
                <w:sz w:val="18"/>
              </w:rPr>
              <w:t>$60,000</w:t>
            </w:r>
          </w:p>
        </w:tc>
        <w:tc>
          <w:tcPr>
            <w:tcW w:type="dxa" w:w="1152"/>
            <w:shd w:fill="FFFFFF"/>
            <w:tcMar>
              <w:top w:w="100" w:type="dxa"/>
              <w:bottom w:w="100" w:type="dxa"/>
              <w:left w:w="160" w:type="dxa"/>
              <w:right w:w="160" w:type="dxa"/>
            </w:tcMar>
          </w:tcPr>
          <w:p>
            <w:pPr>
              <w:jc w:val="left"/>
            </w:pPr>
            <w:r>
              <w:rPr>
                <w:rFonts w:ascii="Calibri" w:hAnsi="Calibri"/>
                <w:color w:val="282C29"/>
                <w:sz w:val="18"/>
              </w:rPr>
              <w:t>2.5%</w:t>
            </w:r>
          </w:p>
        </w:tc>
        <w:tc>
          <w:tcPr>
            <w:tcW w:type="dxa" w:w="3456"/>
            <w:shd w:fill="FFFFFF"/>
            <w:tcMar>
              <w:top w:w="100" w:type="dxa"/>
              <w:bottom w:w="100" w:type="dxa"/>
              <w:left w:w="160" w:type="dxa"/>
              <w:right w:w="160" w:type="dxa"/>
            </w:tcMar>
          </w:tcPr>
          <w:p>
            <w:pPr>
              <w:jc w:val="left"/>
            </w:pPr>
            <w:r>
              <w:rPr>
                <w:rFonts w:ascii="Calibri" w:hAnsi="Calibri"/>
                <w:color w:val="282C29"/>
                <w:sz w:val="18"/>
              </w:rPr>
              <w:t>Compact tractors, compost spreaders, solar charging bays, EV utility buggies.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Boutique Guest Pavilions (12–15 Units)</w:t>
            </w:r>
          </w:p>
        </w:tc>
        <w:tc>
          <w:tcPr>
            <w:tcW w:type="dxa" w:w="1728"/>
            <w:shd w:fill="FAF8F5"/>
            <w:tcMar>
              <w:top w:w="100" w:type="dxa"/>
              <w:bottom w:w="100" w:type="dxa"/>
              <w:left w:w="160" w:type="dxa"/>
              <w:right w:w="160" w:type="dxa"/>
            </w:tcMar>
          </w:tcPr>
          <w:p>
            <w:pPr>
              <w:jc w:val="left"/>
            </w:pPr>
            <w:r>
              <w:rPr>
                <w:rFonts w:ascii="Calibri" w:hAnsi="Calibri"/>
                <w:color w:val="282C29"/>
                <w:sz w:val="18"/>
              </w:rPr>
              <w:t>$720,000</w:t>
            </w:r>
          </w:p>
        </w:tc>
        <w:tc>
          <w:tcPr>
            <w:tcW w:type="dxa" w:w="1152"/>
            <w:shd w:fill="FAF8F5"/>
            <w:tcMar>
              <w:top w:w="100" w:type="dxa"/>
              <w:bottom w:w="100" w:type="dxa"/>
              <w:left w:w="160" w:type="dxa"/>
              <w:right w:w="160" w:type="dxa"/>
            </w:tcMar>
          </w:tcPr>
          <w:p>
            <w:pPr>
              <w:jc w:val="left"/>
            </w:pPr>
            <w:r>
              <w:rPr>
                <w:rFonts w:ascii="Calibri" w:hAnsi="Calibri"/>
                <w:color w:val="282C29"/>
                <w:sz w:val="18"/>
              </w:rPr>
              <w:t>30.0%</w:t>
            </w:r>
          </w:p>
        </w:tc>
        <w:tc>
          <w:tcPr>
            <w:tcW w:type="dxa" w:w="3456"/>
            <w:shd w:fill="FAF8F5"/>
            <w:tcMar>
              <w:top w:w="100" w:type="dxa"/>
              <w:bottom w:w="100" w:type="dxa"/>
              <w:left w:w="160" w:type="dxa"/>
              <w:right w:w="160" w:type="dxa"/>
            </w:tcMar>
          </w:tcPr>
          <w:p>
            <w:pPr>
              <w:jc w:val="left"/>
            </w:pPr>
            <w:r>
              <w:rPr>
                <w:rFonts w:ascii="Calibri" w:hAnsi="Calibri"/>
                <w:color w:val="282C29"/>
                <w:sz w:val="18"/>
              </w:rPr>
              <w:t>10 deluxe suites (75 sqm), 3 family villas (125 sqm), reception lounge, wellness deck.</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Commercial Catering Kitchen &amp; Farm Produce Shop</w:t>
            </w:r>
          </w:p>
        </w:tc>
        <w:tc>
          <w:tcPr>
            <w:tcW w:type="dxa" w:w="1728"/>
            <w:shd w:fill="FFFFFF"/>
            <w:tcMar>
              <w:top w:w="100" w:type="dxa"/>
              <w:bottom w:w="100" w:type="dxa"/>
              <w:left w:w="160" w:type="dxa"/>
              <w:right w:w="160" w:type="dxa"/>
            </w:tcMar>
          </w:tcPr>
          <w:p>
            <w:pPr>
              <w:jc w:val="left"/>
            </w:pPr>
            <w:r>
              <w:rPr>
                <w:rFonts w:ascii="Calibri" w:hAnsi="Calibri"/>
                <w:color w:val="282C29"/>
                <w:sz w:val="18"/>
              </w:rPr>
              <w:t>$240,000</w:t>
            </w:r>
          </w:p>
        </w:tc>
        <w:tc>
          <w:tcPr>
            <w:tcW w:type="dxa" w:w="1152"/>
            <w:shd w:fill="FFFFFF"/>
            <w:tcMar>
              <w:top w:w="100" w:type="dxa"/>
              <w:bottom w:w="100" w:type="dxa"/>
              <w:left w:w="160" w:type="dxa"/>
              <w:right w:w="160" w:type="dxa"/>
            </w:tcMar>
          </w:tcPr>
          <w:p>
            <w:pPr>
              <w:jc w:val="left"/>
            </w:pPr>
            <w:r>
              <w:rPr>
                <w:rFonts w:ascii="Calibri" w:hAnsi="Calibri"/>
                <w:color w:val="282C29"/>
                <w:sz w:val="18"/>
              </w:rPr>
              <w:t>10.0%</w:t>
            </w:r>
          </w:p>
        </w:tc>
        <w:tc>
          <w:tcPr>
            <w:tcW w:type="dxa" w:w="3456"/>
            <w:shd w:fill="FFFFFF"/>
            <w:tcMar>
              <w:top w:w="100" w:type="dxa"/>
              <w:bottom w:w="100" w:type="dxa"/>
              <w:left w:w="160" w:type="dxa"/>
              <w:right w:w="160" w:type="dxa"/>
            </w:tcMar>
          </w:tcPr>
          <w:p>
            <w:pPr>
              <w:jc w:val="left"/>
            </w:pPr>
            <w:r>
              <w:rPr>
                <w:rFonts w:ascii="Calibri" w:hAnsi="Calibri"/>
                <w:color w:val="282C29"/>
                <w:sz w:val="18"/>
              </w:rPr>
              <w:t>Commercial lodge kitchen, sourdough bakery, cold rooms, and on-site retail boutique shop.</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FF&amp;E, OS&amp;E &amp; Converted Safari Vehicles</w:t>
            </w:r>
          </w:p>
        </w:tc>
        <w:tc>
          <w:tcPr>
            <w:tcW w:type="dxa" w:w="1728"/>
            <w:shd w:fill="FAF8F5"/>
            <w:tcMar>
              <w:top w:w="100" w:type="dxa"/>
              <w:bottom w:w="100" w:type="dxa"/>
              <w:left w:w="160" w:type="dxa"/>
              <w:right w:w="160" w:type="dxa"/>
            </w:tcMar>
          </w:tcPr>
          <w:p>
            <w:pPr>
              <w:jc w:val="left"/>
            </w:pPr>
            <w:r>
              <w:rPr>
                <w:rFonts w:ascii="Calibri" w:hAnsi="Calibri"/>
                <w:color w:val="282C29"/>
                <w:sz w:val="18"/>
              </w:rPr>
              <w:t>$140,000</w:t>
            </w:r>
          </w:p>
        </w:tc>
        <w:tc>
          <w:tcPr>
            <w:tcW w:type="dxa" w:w="1152"/>
            <w:shd w:fill="FAF8F5"/>
            <w:tcMar>
              <w:top w:w="100" w:type="dxa"/>
              <w:bottom w:w="100" w:type="dxa"/>
              <w:left w:w="160" w:type="dxa"/>
              <w:right w:w="160" w:type="dxa"/>
            </w:tcMar>
          </w:tcPr>
          <w:p>
            <w:pPr>
              <w:jc w:val="left"/>
            </w:pPr>
            <w:r>
              <w:rPr>
                <w:rFonts w:ascii="Calibri" w:hAnsi="Calibri"/>
                <w:color w:val="282C29"/>
                <w:sz w:val="18"/>
              </w:rPr>
              <w:t>5.8%</w:t>
            </w:r>
          </w:p>
        </w:tc>
        <w:tc>
          <w:tcPr>
            <w:tcW w:type="dxa" w:w="3456"/>
            <w:shd w:fill="FAF8F5"/>
            <w:tcMar>
              <w:top w:w="100" w:type="dxa"/>
              <w:bottom w:w="100" w:type="dxa"/>
              <w:left w:w="160" w:type="dxa"/>
              <w:right w:w="160" w:type="dxa"/>
            </w:tcMar>
          </w:tcPr>
          <w:p>
            <w:pPr>
              <w:jc w:val="left"/>
            </w:pPr>
            <w:r>
              <w:rPr>
                <w:rFonts w:ascii="Calibri" w:hAnsi="Calibri"/>
                <w:color w:val="282C29"/>
                <w:sz w:val="18"/>
              </w:rPr>
              <w:t>Artisan stone/cedar furnishings, bespoke linens, 1 converted silent game viewing vehicle.</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Professional Fees, NEMA &amp; Permitting</w:t>
            </w:r>
          </w:p>
        </w:tc>
        <w:tc>
          <w:tcPr>
            <w:tcW w:type="dxa" w:w="1728"/>
            <w:shd w:fill="FFFFFF"/>
            <w:tcMar>
              <w:top w:w="100" w:type="dxa"/>
              <w:bottom w:w="100" w:type="dxa"/>
              <w:left w:w="160" w:type="dxa"/>
              <w:right w:w="160" w:type="dxa"/>
            </w:tcMar>
          </w:tcPr>
          <w:p>
            <w:pPr>
              <w:jc w:val="left"/>
            </w:pPr>
            <w:r>
              <w:rPr>
                <w:rFonts w:ascii="Calibri" w:hAnsi="Calibri"/>
                <w:color w:val="282C29"/>
                <w:sz w:val="18"/>
              </w:rPr>
              <w:t>$120,000</w:t>
            </w:r>
          </w:p>
        </w:tc>
        <w:tc>
          <w:tcPr>
            <w:tcW w:type="dxa" w:w="1152"/>
            <w:shd w:fill="FFFFFF"/>
            <w:tcMar>
              <w:top w:w="100" w:type="dxa"/>
              <w:bottom w:w="100" w:type="dxa"/>
              <w:left w:w="160" w:type="dxa"/>
              <w:right w:w="160" w:type="dxa"/>
            </w:tcMar>
          </w:tcPr>
          <w:p>
            <w:pPr>
              <w:jc w:val="left"/>
            </w:pPr>
            <w:r>
              <w:rPr>
                <w:rFonts w:ascii="Calibri" w:hAnsi="Calibri"/>
                <w:color w:val="282C29"/>
                <w:sz w:val="18"/>
              </w:rPr>
              <w:t>5.0%</w:t>
            </w:r>
          </w:p>
        </w:tc>
        <w:tc>
          <w:tcPr>
            <w:tcW w:type="dxa" w:w="3456"/>
            <w:shd w:fill="FFFFFF"/>
            <w:tcMar>
              <w:top w:w="100" w:type="dxa"/>
              <w:bottom w:w="100" w:type="dxa"/>
              <w:left w:w="160" w:type="dxa"/>
              <w:right w:w="160" w:type="dxa"/>
            </w:tcMar>
          </w:tcPr>
          <w:p>
            <w:pPr>
              <w:jc w:val="left"/>
            </w:pPr>
            <w:r>
              <w:rPr>
                <w:rFonts w:ascii="Calibri" w:hAnsi="Calibri"/>
                <w:color w:val="282C29"/>
                <w:sz w:val="18"/>
              </w:rPr>
              <w:t>Architectural/MEP engineering, NEMA ESIA license, county change-of-user.</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Pre-Opening Working Capital &amp; Contingency</w:t>
            </w:r>
          </w:p>
        </w:tc>
        <w:tc>
          <w:tcPr>
            <w:tcW w:type="dxa" w:w="1728"/>
            <w:shd w:fill="FAF8F5"/>
            <w:tcMar>
              <w:top w:w="100" w:type="dxa"/>
              <w:bottom w:w="100" w:type="dxa"/>
              <w:left w:w="160" w:type="dxa"/>
              <w:right w:w="160" w:type="dxa"/>
            </w:tcMar>
          </w:tcPr>
          <w:p>
            <w:pPr>
              <w:jc w:val="left"/>
            </w:pPr>
            <w:r>
              <w:rPr>
                <w:rFonts w:ascii="Calibri" w:hAnsi="Calibri"/>
                <w:color w:val="282C29"/>
                <w:sz w:val="18"/>
              </w:rPr>
              <w:t>$120,000</w:t>
            </w:r>
          </w:p>
        </w:tc>
        <w:tc>
          <w:tcPr>
            <w:tcW w:type="dxa" w:w="1152"/>
            <w:shd w:fill="FAF8F5"/>
            <w:tcMar>
              <w:top w:w="100" w:type="dxa"/>
              <w:bottom w:w="100" w:type="dxa"/>
              <w:left w:w="160" w:type="dxa"/>
              <w:right w:w="160" w:type="dxa"/>
            </w:tcMar>
          </w:tcPr>
          <w:p>
            <w:pPr>
              <w:jc w:val="left"/>
            </w:pPr>
            <w:r>
              <w:rPr>
                <w:rFonts w:ascii="Calibri" w:hAnsi="Calibri"/>
                <w:color w:val="282C29"/>
                <w:sz w:val="18"/>
              </w:rPr>
              <w:t>5.0%</w:t>
            </w:r>
          </w:p>
        </w:tc>
        <w:tc>
          <w:tcPr>
            <w:tcW w:type="dxa" w:w="3456"/>
            <w:shd w:fill="FAF8F5"/>
            <w:tcMar>
              <w:top w:w="100" w:type="dxa"/>
              <w:bottom w:w="100" w:type="dxa"/>
              <w:left w:w="160" w:type="dxa"/>
              <w:right w:w="160" w:type="dxa"/>
            </w:tcMar>
          </w:tcPr>
          <w:p>
            <w:pPr>
              <w:jc w:val="left"/>
            </w:pPr>
            <w:r>
              <w:rPr>
                <w:rFonts w:ascii="Calibri" w:hAnsi="Calibri"/>
                <w:color w:val="282C29"/>
                <w:sz w:val="18"/>
              </w:rPr>
              <w:t>Hospitality/farm staff recruitment, brand launch runway, ring-fenced contingency buffer.</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TOTAL US$ CAPITAL REQUIREMENT</w:t>
            </w:r>
          </w:p>
        </w:tc>
        <w:tc>
          <w:tcPr>
            <w:tcW w:type="dxa" w:w="1728"/>
            <w:shd w:fill="FFFFFF"/>
            <w:tcMar>
              <w:top w:w="100" w:type="dxa"/>
              <w:bottom w:w="100" w:type="dxa"/>
              <w:left w:w="160" w:type="dxa"/>
              <w:right w:w="160" w:type="dxa"/>
            </w:tcMar>
          </w:tcPr>
          <w:p>
            <w:pPr>
              <w:jc w:val="left"/>
            </w:pPr>
            <w:r>
              <w:rPr>
                <w:rFonts w:ascii="Calibri" w:hAnsi="Calibri"/>
                <w:color w:val="282C29"/>
                <w:sz w:val="18"/>
              </w:rPr>
              <w:t>$2,400,000</w:t>
            </w:r>
          </w:p>
        </w:tc>
        <w:tc>
          <w:tcPr>
            <w:tcW w:type="dxa" w:w="1152"/>
            <w:shd w:fill="FFFFFF"/>
            <w:tcMar>
              <w:top w:w="100" w:type="dxa"/>
              <w:bottom w:w="100" w:type="dxa"/>
              <w:left w:w="160" w:type="dxa"/>
              <w:right w:w="160" w:type="dxa"/>
            </w:tcMar>
          </w:tcPr>
          <w:p>
            <w:pPr>
              <w:jc w:val="left"/>
            </w:pPr>
            <w:r>
              <w:rPr>
                <w:rFonts w:ascii="Calibri" w:hAnsi="Calibri"/>
                <w:color w:val="282C29"/>
                <w:sz w:val="18"/>
              </w:rPr>
              <w:t>100.0%</w:t>
            </w:r>
          </w:p>
        </w:tc>
        <w:tc>
          <w:tcPr>
            <w:tcW w:type="dxa" w:w="3456"/>
            <w:shd w:fill="FFFFFF"/>
            <w:tcMar>
              <w:top w:w="100" w:type="dxa"/>
              <w:bottom w:w="100" w:type="dxa"/>
              <w:left w:w="160" w:type="dxa"/>
              <w:right w:w="160" w:type="dxa"/>
            </w:tcMar>
          </w:tcPr>
          <w:p>
            <w:pPr>
              <w:jc w:val="left"/>
            </w:pPr>
            <w:r>
              <w:rPr>
                <w:rFonts w:ascii="Calibri" w:hAnsi="Calibri"/>
                <w:color w:val="282C29"/>
                <w:sz w:val="18"/>
              </w:rPr>
              <w:t>Complete turnkey capitalization to commercial opening.</w:t>
            </w:r>
          </w:p>
        </w:tc>
      </w:tr>
    </w:tbl>
    <w:p>
      <w:pPr>
        <w:spacing w:before="80" w:after="160"/>
      </w:pPr>
    </w:p>
    <w:tbl>
      <w:tblPr>
        <w:tblW w:type="auto" w:w="0"/>
        <w:jc w:val="center"/>
        <w:tblLayout w:type="fixed"/>
        <w:tblLook w:firstColumn="1" w:firstRow="1" w:lastColumn="0" w:lastRow="0" w:noHBand="0" w:noVBand="1" w:val="04A0"/>
      </w:tblPr>
      <w:tblGrid>
        <w:gridCol w:w="9792"/>
      </w:tblGrid>
      <w:tr>
        <w:tc>
          <w:tcPr>
            <w:tcW w:type="dxa" w:w="9792"/>
            <w:shd w:fill="F7F4EC"/>
            <w:tcMar>
              <w:top w:w="160" w:type="dxa"/>
              <w:bottom w:w="160" w:type="dxa"/>
              <w:left w:w="240" w:type="dxa"/>
              <w:right w:w="200" w:type="dxa"/>
            </w:tcMar>
            <w:tcBorders>
              <w:top w:val="none"/>
              <w:left w:val="single" w:sz="24" w:space="0" w:color="A88B65"/>
              <w:bottom w:val="none"/>
              <w:right w:val="none"/>
            </w:tcBorders>
          </w:tcPr>
          <w:p>
            <w:pPr>
              <w:spacing w:before="40" w:after="40"/>
            </w:pPr>
            <w:r>
              <w:rPr>
                <w:rFonts w:ascii="Calibri" w:hAnsi="Calibri"/>
                <w:b/>
                <w:color w:val="A88B65"/>
                <w:sz w:val="19"/>
              </w:rPr>
              <w:t>GREENER ECOSYSTEM &amp; PRODUCTIVE ASSETS ALLOCATION: US$980,000 (40.8%)</w:t>
              <w:br/>
            </w:r>
            <w:r>
              <w:rPr>
                <w:rFonts w:ascii="Georgia" w:hAnsi="Georgia"/>
                <w:i/>
                <w:color w:val="19382D"/>
                <w:sz w:val="19"/>
              </w:rPr>
              <w:t>A defining dimension of the capital budget is that over 40% of funding — US$980,000 in total — directly finances the greener ecosystem and productive farm infrastructure: Solar Microgrid ($160k), Biogas Generation ($80k), Hydrology &amp; Drip Irrigation ($240k), Contour Earthworks ($120k), Animal Structures &amp; Dairy ($80k), Farm Machinery ($60k), and the Commercial Catering Kitchen &amp; Farm Produce Shop ($240k). This circular infrastructure cuts recurring lodge energy and food costs by over 35% while creating an authentic guest experience.</w:t>
            </w:r>
          </w:p>
        </w:tc>
      </w:tr>
    </w:tbl>
    <w:p>
      <w:pPr>
        <w:spacing w:before="80" w:after="160"/>
      </w:pPr>
    </w:p>
    <w:p>
      <w:pPr>
        <w:keepNext/>
        <w:spacing w:before="320" w:after="120"/>
      </w:pPr>
      <w:r>
        <w:rPr>
          <w:rFonts w:ascii="Georgia" w:hAnsi="Georgia"/>
          <w:b/>
          <w:color w:val="19382D"/>
          <w:sz w:val="28"/>
        </w:rPr>
        <w:t>3. 10-Year Illustrative Financial Highlights</w:t>
      </w:r>
    </w:p>
    <w:p>
      <w:pPr>
        <w:spacing w:before="40" w:after="120" w:line="276" w:lineRule="auto"/>
      </w:pPr>
      <w:r>
        <w:rPr>
          <w:rFonts w:ascii="Calibri" w:hAnsi="Calibri"/>
          <w:color w:val="282C29"/>
          <w:sz w:val="20"/>
        </w:rPr>
        <w:t>Hospitality is the core revenue engine, supported by culinary covers, agro-tourism workshops, wellness retreats, and farm-gate artisanal sales. The illustrative model assumes a phased ramp-up across Year 3 (opening) to Year 10:</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3456"/>
            <w:shd w:fill="19382D"/>
            <w:tcMar>
              <w:top w:w="140" w:type="dxa"/>
              <w:bottom w:w="140" w:type="dxa"/>
              <w:left w:w="180" w:type="dxa"/>
              <w:right w:w="180" w:type="dxa"/>
            </w:tcMar>
          </w:tcPr>
          <w:p>
            <w:pPr>
              <w:jc w:val="left"/>
            </w:pPr>
            <w:r>
              <w:rPr>
                <w:rFonts w:ascii="Calibri" w:hAnsi="Calibri"/>
                <w:b/>
                <w:color w:val="F7F4EC"/>
                <w:sz w:val="19"/>
              </w:rPr>
              <w:t>Operating Metric</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3 (Launch)</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5 (Stabilized)</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7 (Maturity)</w:t>
            </w:r>
          </w:p>
        </w:tc>
        <w:tc>
          <w:tcPr>
            <w:tcW w:type="dxa" w:w="1584"/>
            <w:shd w:fill="19382D"/>
            <w:tcMar>
              <w:top w:w="140" w:type="dxa"/>
              <w:bottom w:w="140" w:type="dxa"/>
              <w:left w:w="180" w:type="dxa"/>
              <w:right w:w="180" w:type="dxa"/>
            </w:tcMar>
          </w:tcPr>
          <w:p>
            <w:pPr>
              <w:jc w:val="left"/>
            </w:pPr>
            <w:r>
              <w:rPr>
                <w:rFonts w:ascii="Calibri" w:hAnsi="Calibri"/>
                <w:b/>
                <w:color w:val="F7F4EC"/>
                <w:sz w:val="19"/>
              </w:rPr>
              <w:t>Year 10 (Terminal)</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Operational Keys</w:t>
            </w:r>
          </w:p>
        </w:tc>
        <w:tc>
          <w:tcPr>
            <w:tcW w:type="dxa" w:w="1584"/>
            <w:shd w:fill="FFFFFF"/>
            <w:tcMar>
              <w:top w:w="100" w:type="dxa"/>
              <w:bottom w:w="100" w:type="dxa"/>
              <w:left w:w="160" w:type="dxa"/>
              <w:right w:w="160" w:type="dxa"/>
            </w:tcMar>
          </w:tcPr>
          <w:p>
            <w:pPr>
              <w:jc w:val="left"/>
            </w:pPr>
            <w:r>
              <w:rPr>
                <w:rFonts w:ascii="Calibri" w:hAnsi="Calibri"/>
                <w:color w:val="282C29"/>
                <w:sz w:val="18"/>
              </w:rPr>
              <w:t>12 Keys</w:t>
            </w:r>
          </w:p>
        </w:tc>
        <w:tc>
          <w:tcPr>
            <w:tcW w:type="dxa" w:w="1584"/>
            <w:shd w:fill="FFFFFF"/>
            <w:tcMar>
              <w:top w:w="100" w:type="dxa"/>
              <w:bottom w:w="100" w:type="dxa"/>
              <w:left w:w="160" w:type="dxa"/>
              <w:right w:w="160" w:type="dxa"/>
            </w:tcMar>
          </w:tcPr>
          <w:p>
            <w:pPr>
              <w:jc w:val="left"/>
            </w:pPr>
            <w:r>
              <w:rPr>
                <w:rFonts w:ascii="Calibri" w:hAnsi="Calibri"/>
                <w:color w:val="282C29"/>
                <w:sz w:val="18"/>
              </w:rPr>
              <w:t>14 Keys</w:t>
            </w:r>
          </w:p>
        </w:tc>
        <w:tc>
          <w:tcPr>
            <w:tcW w:type="dxa" w:w="1584"/>
            <w:shd w:fill="FFFFFF"/>
            <w:tcMar>
              <w:top w:w="100" w:type="dxa"/>
              <w:bottom w:w="100" w:type="dxa"/>
              <w:left w:w="160" w:type="dxa"/>
              <w:right w:w="160" w:type="dxa"/>
            </w:tcMar>
          </w:tcPr>
          <w:p>
            <w:pPr>
              <w:jc w:val="left"/>
            </w:pPr>
            <w:r>
              <w:rPr>
                <w:rFonts w:ascii="Calibri" w:hAnsi="Calibri"/>
                <w:color w:val="282C29"/>
                <w:sz w:val="18"/>
              </w:rPr>
              <w:t>15 Keys</w:t>
            </w:r>
          </w:p>
        </w:tc>
        <w:tc>
          <w:tcPr>
            <w:tcW w:type="dxa" w:w="1584"/>
            <w:shd w:fill="FFFFFF"/>
            <w:tcMar>
              <w:top w:w="100" w:type="dxa"/>
              <w:bottom w:w="100" w:type="dxa"/>
              <w:left w:w="160" w:type="dxa"/>
              <w:right w:w="160" w:type="dxa"/>
            </w:tcMar>
          </w:tcPr>
          <w:p>
            <w:pPr>
              <w:jc w:val="left"/>
            </w:pPr>
            <w:r>
              <w:rPr>
                <w:rFonts w:ascii="Calibri" w:hAnsi="Calibri"/>
                <w:color w:val="282C29"/>
                <w:sz w:val="18"/>
              </w:rPr>
              <w:t>15 Keys</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Average Daily Rate (ADR)</w:t>
            </w:r>
          </w:p>
        </w:tc>
        <w:tc>
          <w:tcPr>
            <w:tcW w:type="dxa" w:w="1584"/>
            <w:shd w:fill="FAF8F5"/>
            <w:tcMar>
              <w:top w:w="100" w:type="dxa"/>
              <w:bottom w:w="100" w:type="dxa"/>
              <w:left w:w="160" w:type="dxa"/>
              <w:right w:w="160" w:type="dxa"/>
            </w:tcMar>
          </w:tcPr>
          <w:p>
            <w:pPr>
              <w:jc w:val="left"/>
            </w:pPr>
            <w:r>
              <w:rPr>
                <w:rFonts w:ascii="Calibri" w:hAnsi="Calibri"/>
                <w:color w:val="282C29"/>
                <w:sz w:val="18"/>
              </w:rPr>
              <w:t>US$380</w:t>
            </w:r>
          </w:p>
        </w:tc>
        <w:tc>
          <w:tcPr>
            <w:tcW w:type="dxa" w:w="1584"/>
            <w:shd w:fill="FAF8F5"/>
            <w:tcMar>
              <w:top w:w="100" w:type="dxa"/>
              <w:bottom w:w="100" w:type="dxa"/>
              <w:left w:w="160" w:type="dxa"/>
              <w:right w:w="160" w:type="dxa"/>
            </w:tcMar>
          </w:tcPr>
          <w:p>
            <w:pPr>
              <w:jc w:val="left"/>
            </w:pPr>
            <w:r>
              <w:rPr>
                <w:rFonts w:ascii="Calibri" w:hAnsi="Calibri"/>
                <w:color w:val="282C29"/>
                <w:sz w:val="18"/>
              </w:rPr>
              <w:t>US$440</w:t>
            </w:r>
          </w:p>
        </w:tc>
        <w:tc>
          <w:tcPr>
            <w:tcW w:type="dxa" w:w="1584"/>
            <w:shd w:fill="FAF8F5"/>
            <w:tcMar>
              <w:top w:w="100" w:type="dxa"/>
              <w:bottom w:w="100" w:type="dxa"/>
              <w:left w:w="160" w:type="dxa"/>
              <w:right w:w="160" w:type="dxa"/>
            </w:tcMar>
          </w:tcPr>
          <w:p>
            <w:pPr>
              <w:jc w:val="left"/>
            </w:pPr>
            <w:r>
              <w:rPr>
                <w:rFonts w:ascii="Calibri" w:hAnsi="Calibri"/>
                <w:color w:val="282C29"/>
                <w:sz w:val="18"/>
              </w:rPr>
              <w:t>US$500</w:t>
            </w:r>
          </w:p>
        </w:tc>
        <w:tc>
          <w:tcPr>
            <w:tcW w:type="dxa" w:w="1584"/>
            <w:shd w:fill="FAF8F5"/>
            <w:tcMar>
              <w:top w:w="100" w:type="dxa"/>
              <w:bottom w:w="100" w:type="dxa"/>
              <w:left w:w="160" w:type="dxa"/>
              <w:right w:w="160" w:type="dxa"/>
            </w:tcMar>
          </w:tcPr>
          <w:p>
            <w:pPr>
              <w:jc w:val="left"/>
            </w:pPr>
            <w:r>
              <w:rPr>
                <w:rFonts w:ascii="Calibri" w:hAnsi="Calibri"/>
                <w:color w:val="282C29"/>
                <w:sz w:val="18"/>
              </w:rPr>
              <w:t>US$560</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Average Annual Occupancy</w:t>
            </w:r>
          </w:p>
        </w:tc>
        <w:tc>
          <w:tcPr>
            <w:tcW w:type="dxa" w:w="1584"/>
            <w:shd w:fill="FFFFFF"/>
            <w:tcMar>
              <w:top w:w="100" w:type="dxa"/>
              <w:bottom w:w="100" w:type="dxa"/>
              <w:left w:w="160" w:type="dxa"/>
              <w:right w:w="160" w:type="dxa"/>
            </w:tcMar>
          </w:tcPr>
          <w:p>
            <w:pPr>
              <w:jc w:val="left"/>
            </w:pPr>
            <w:r>
              <w:rPr>
                <w:rFonts w:ascii="Calibri" w:hAnsi="Calibri"/>
                <w:color w:val="282C29"/>
                <w:sz w:val="18"/>
              </w:rPr>
              <w:t>35.0%</w:t>
            </w:r>
          </w:p>
        </w:tc>
        <w:tc>
          <w:tcPr>
            <w:tcW w:type="dxa" w:w="1584"/>
            <w:shd w:fill="FFFFFF"/>
            <w:tcMar>
              <w:top w:w="100" w:type="dxa"/>
              <w:bottom w:w="100" w:type="dxa"/>
              <w:left w:w="160" w:type="dxa"/>
              <w:right w:w="160" w:type="dxa"/>
            </w:tcMar>
          </w:tcPr>
          <w:p>
            <w:pPr>
              <w:jc w:val="left"/>
            </w:pPr>
            <w:r>
              <w:rPr>
                <w:rFonts w:ascii="Calibri" w:hAnsi="Calibri"/>
                <w:color w:val="282C29"/>
                <w:sz w:val="18"/>
              </w:rPr>
              <w:t>52.0%</w:t>
            </w:r>
          </w:p>
        </w:tc>
        <w:tc>
          <w:tcPr>
            <w:tcW w:type="dxa" w:w="1584"/>
            <w:shd w:fill="FFFFFF"/>
            <w:tcMar>
              <w:top w:w="100" w:type="dxa"/>
              <w:bottom w:w="100" w:type="dxa"/>
              <w:left w:w="160" w:type="dxa"/>
              <w:right w:w="160" w:type="dxa"/>
            </w:tcMar>
          </w:tcPr>
          <w:p>
            <w:pPr>
              <w:jc w:val="left"/>
            </w:pPr>
            <w:r>
              <w:rPr>
                <w:rFonts w:ascii="Calibri" w:hAnsi="Calibri"/>
                <w:color w:val="282C29"/>
                <w:sz w:val="18"/>
              </w:rPr>
              <w:t>62.0%</w:t>
            </w:r>
          </w:p>
        </w:tc>
        <w:tc>
          <w:tcPr>
            <w:tcW w:type="dxa" w:w="1584"/>
            <w:shd w:fill="FFFFFF"/>
            <w:tcMar>
              <w:top w:w="100" w:type="dxa"/>
              <w:bottom w:w="100" w:type="dxa"/>
              <w:left w:w="160" w:type="dxa"/>
              <w:right w:w="160" w:type="dxa"/>
            </w:tcMar>
          </w:tcPr>
          <w:p>
            <w:pPr>
              <w:jc w:val="left"/>
            </w:pPr>
            <w:r>
              <w:rPr>
                <w:rFonts w:ascii="Calibri" w:hAnsi="Calibri"/>
                <w:color w:val="282C29"/>
                <w:sz w:val="18"/>
              </w:rPr>
              <w:t>68.0%</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Gross Accommodation Revenue</w:t>
            </w:r>
          </w:p>
        </w:tc>
        <w:tc>
          <w:tcPr>
            <w:tcW w:type="dxa" w:w="1584"/>
            <w:shd w:fill="FAF8F5"/>
            <w:tcMar>
              <w:top w:w="100" w:type="dxa"/>
              <w:bottom w:w="100" w:type="dxa"/>
              <w:left w:w="160" w:type="dxa"/>
              <w:right w:w="160" w:type="dxa"/>
            </w:tcMar>
          </w:tcPr>
          <w:p>
            <w:pPr>
              <w:jc w:val="left"/>
            </w:pPr>
            <w:r>
              <w:rPr>
                <w:rFonts w:ascii="Calibri" w:hAnsi="Calibri"/>
                <w:color w:val="282C29"/>
                <w:sz w:val="18"/>
              </w:rPr>
              <w:t>$582,540</w:t>
            </w:r>
          </w:p>
        </w:tc>
        <w:tc>
          <w:tcPr>
            <w:tcW w:type="dxa" w:w="1584"/>
            <w:shd w:fill="FAF8F5"/>
            <w:tcMar>
              <w:top w:w="100" w:type="dxa"/>
              <w:bottom w:w="100" w:type="dxa"/>
              <w:left w:w="160" w:type="dxa"/>
              <w:right w:w="160" w:type="dxa"/>
            </w:tcMar>
          </w:tcPr>
          <w:p>
            <w:pPr>
              <w:jc w:val="left"/>
            </w:pPr>
            <w:r>
              <w:rPr>
                <w:rFonts w:ascii="Calibri" w:hAnsi="Calibri"/>
                <w:color w:val="282C29"/>
                <w:sz w:val="18"/>
              </w:rPr>
              <w:t>$1,167,416</w:t>
            </w:r>
          </w:p>
        </w:tc>
        <w:tc>
          <w:tcPr>
            <w:tcW w:type="dxa" w:w="1584"/>
            <w:shd w:fill="FAF8F5"/>
            <w:tcMar>
              <w:top w:w="100" w:type="dxa"/>
              <w:bottom w:w="100" w:type="dxa"/>
              <w:left w:w="160" w:type="dxa"/>
              <w:right w:w="160" w:type="dxa"/>
            </w:tcMar>
          </w:tcPr>
          <w:p>
            <w:pPr>
              <w:jc w:val="left"/>
            </w:pPr>
            <w:r>
              <w:rPr>
                <w:rFonts w:ascii="Calibri" w:hAnsi="Calibri"/>
                <w:color w:val="282C29"/>
                <w:sz w:val="18"/>
              </w:rPr>
              <w:t>$1,697,250</w:t>
            </w:r>
          </w:p>
        </w:tc>
        <w:tc>
          <w:tcPr>
            <w:tcW w:type="dxa" w:w="1584"/>
            <w:shd w:fill="FAF8F5"/>
            <w:tcMar>
              <w:top w:w="100" w:type="dxa"/>
              <w:bottom w:w="100" w:type="dxa"/>
              <w:left w:w="160" w:type="dxa"/>
              <w:right w:w="160" w:type="dxa"/>
            </w:tcMar>
          </w:tcPr>
          <w:p>
            <w:pPr>
              <w:jc w:val="left"/>
            </w:pPr>
            <w:r>
              <w:rPr>
                <w:rFonts w:ascii="Calibri" w:hAnsi="Calibri"/>
                <w:color w:val="282C29"/>
                <w:sz w:val="18"/>
              </w:rPr>
              <w:t>$2,082,690</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F&amp;B, Wellness &amp; Farm Activities</w:t>
            </w:r>
          </w:p>
        </w:tc>
        <w:tc>
          <w:tcPr>
            <w:tcW w:type="dxa" w:w="1584"/>
            <w:shd w:fill="FFFFFF"/>
            <w:tcMar>
              <w:top w:w="100" w:type="dxa"/>
              <w:bottom w:w="100" w:type="dxa"/>
              <w:left w:w="160" w:type="dxa"/>
              <w:right w:w="160" w:type="dxa"/>
            </w:tcMar>
          </w:tcPr>
          <w:p>
            <w:pPr>
              <w:jc w:val="left"/>
            </w:pPr>
            <w:r>
              <w:rPr>
                <w:rFonts w:ascii="Calibri" w:hAnsi="Calibri"/>
                <w:color w:val="282C29"/>
                <w:sz w:val="18"/>
              </w:rPr>
              <w:t>$291,270</w:t>
            </w:r>
          </w:p>
        </w:tc>
        <w:tc>
          <w:tcPr>
            <w:tcW w:type="dxa" w:w="1584"/>
            <w:shd w:fill="FFFFFF"/>
            <w:tcMar>
              <w:top w:w="100" w:type="dxa"/>
              <w:bottom w:w="100" w:type="dxa"/>
              <w:left w:w="160" w:type="dxa"/>
              <w:right w:w="160" w:type="dxa"/>
            </w:tcMar>
          </w:tcPr>
          <w:p>
            <w:pPr>
              <w:jc w:val="left"/>
            </w:pPr>
            <w:r>
              <w:rPr>
                <w:rFonts w:ascii="Calibri" w:hAnsi="Calibri"/>
                <w:color w:val="282C29"/>
                <w:sz w:val="18"/>
              </w:rPr>
              <w:t>$583,708</w:t>
            </w:r>
          </w:p>
        </w:tc>
        <w:tc>
          <w:tcPr>
            <w:tcW w:type="dxa" w:w="1584"/>
            <w:shd w:fill="FFFFFF"/>
            <w:tcMar>
              <w:top w:w="100" w:type="dxa"/>
              <w:bottom w:w="100" w:type="dxa"/>
              <w:left w:w="160" w:type="dxa"/>
              <w:right w:w="160" w:type="dxa"/>
            </w:tcMar>
          </w:tcPr>
          <w:p>
            <w:pPr>
              <w:jc w:val="left"/>
            </w:pPr>
            <w:r>
              <w:rPr>
                <w:rFonts w:ascii="Calibri" w:hAnsi="Calibri"/>
                <w:color w:val="282C29"/>
                <w:sz w:val="18"/>
              </w:rPr>
              <w:t>$848,625</w:t>
            </w:r>
          </w:p>
        </w:tc>
        <w:tc>
          <w:tcPr>
            <w:tcW w:type="dxa" w:w="1584"/>
            <w:shd w:fill="FFFFFF"/>
            <w:tcMar>
              <w:top w:w="100" w:type="dxa"/>
              <w:bottom w:w="100" w:type="dxa"/>
              <w:left w:w="160" w:type="dxa"/>
              <w:right w:w="160" w:type="dxa"/>
            </w:tcMar>
          </w:tcPr>
          <w:p>
            <w:pPr>
              <w:jc w:val="left"/>
            </w:pPr>
            <w:r>
              <w:rPr>
                <w:rFonts w:ascii="Calibri" w:hAnsi="Calibri"/>
                <w:color w:val="282C29"/>
                <w:sz w:val="18"/>
              </w:rPr>
              <w:t>$1,041,345</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Total Destination Revenue</w:t>
            </w:r>
          </w:p>
        </w:tc>
        <w:tc>
          <w:tcPr>
            <w:tcW w:type="dxa" w:w="1584"/>
            <w:shd w:fill="FAF8F5"/>
            <w:tcMar>
              <w:top w:w="100" w:type="dxa"/>
              <w:bottom w:w="100" w:type="dxa"/>
              <w:left w:w="160" w:type="dxa"/>
              <w:right w:w="160" w:type="dxa"/>
            </w:tcMar>
          </w:tcPr>
          <w:p>
            <w:pPr>
              <w:jc w:val="left"/>
            </w:pPr>
            <w:r>
              <w:rPr>
                <w:rFonts w:ascii="Calibri" w:hAnsi="Calibri"/>
                <w:color w:val="282C29"/>
                <w:sz w:val="18"/>
              </w:rPr>
              <w:t>$873,810</w:t>
            </w:r>
          </w:p>
        </w:tc>
        <w:tc>
          <w:tcPr>
            <w:tcW w:type="dxa" w:w="1584"/>
            <w:shd w:fill="FAF8F5"/>
            <w:tcMar>
              <w:top w:w="100" w:type="dxa"/>
              <w:bottom w:w="100" w:type="dxa"/>
              <w:left w:w="160" w:type="dxa"/>
              <w:right w:w="160" w:type="dxa"/>
            </w:tcMar>
          </w:tcPr>
          <w:p>
            <w:pPr>
              <w:jc w:val="left"/>
            </w:pPr>
            <w:r>
              <w:rPr>
                <w:rFonts w:ascii="Calibri" w:hAnsi="Calibri"/>
                <w:color w:val="282C29"/>
                <w:sz w:val="18"/>
              </w:rPr>
              <w:t>$1,751,124</w:t>
            </w:r>
          </w:p>
        </w:tc>
        <w:tc>
          <w:tcPr>
            <w:tcW w:type="dxa" w:w="1584"/>
            <w:shd w:fill="FAF8F5"/>
            <w:tcMar>
              <w:top w:w="100" w:type="dxa"/>
              <w:bottom w:w="100" w:type="dxa"/>
              <w:left w:w="160" w:type="dxa"/>
              <w:right w:w="160" w:type="dxa"/>
            </w:tcMar>
          </w:tcPr>
          <w:p>
            <w:pPr>
              <w:jc w:val="left"/>
            </w:pPr>
            <w:r>
              <w:rPr>
                <w:rFonts w:ascii="Calibri" w:hAnsi="Calibri"/>
                <w:color w:val="282C29"/>
                <w:sz w:val="18"/>
              </w:rPr>
              <w:t>$2,545,875</w:t>
            </w:r>
          </w:p>
        </w:tc>
        <w:tc>
          <w:tcPr>
            <w:tcW w:type="dxa" w:w="1584"/>
            <w:shd w:fill="FAF8F5"/>
            <w:tcMar>
              <w:top w:w="100" w:type="dxa"/>
              <w:bottom w:w="100" w:type="dxa"/>
              <w:left w:w="160" w:type="dxa"/>
              <w:right w:w="160" w:type="dxa"/>
            </w:tcMar>
          </w:tcPr>
          <w:p>
            <w:pPr>
              <w:jc w:val="left"/>
            </w:pPr>
            <w:r>
              <w:rPr>
                <w:rFonts w:ascii="Calibri" w:hAnsi="Calibri"/>
                <w:color w:val="282C29"/>
                <w:sz w:val="18"/>
              </w:rPr>
              <w:t>$3,124,035</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Operating Costs (Opex &amp; Payroll)</w:t>
            </w:r>
          </w:p>
        </w:tc>
        <w:tc>
          <w:tcPr>
            <w:tcW w:type="dxa" w:w="1584"/>
            <w:shd w:fill="FFFFFF"/>
            <w:tcMar>
              <w:top w:w="100" w:type="dxa"/>
              <w:bottom w:w="100" w:type="dxa"/>
              <w:left w:w="160" w:type="dxa"/>
              <w:right w:w="160" w:type="dxa"/>
            </w:tcMar>
          </w:tcPr>
          <w:p>
            <w:pPr>
              <w:jc w:val="left"/>
            </w:pPr>
            <w:r>
              <w:rPr>
                <w:rFonts w:ascii="Calibri" w:hAnsi="Calibri"/>
                <w:color w:val="282C29"/>
                <w:sz w:val="18"/>
              </w:rPr>
              <w:t>($594,191)</w:t>
            </w:r>
          </w:p>
        </w:tc>
        <w:tc>
          <w:tcPr>
            <w:tcW w:type="dxa" w:w="1584"/>
            <w:shd w:fill="FFFFFF"/>
            <w:tcMar>
              <w:top w:w="100" w:type="dxa"/>
              <w:bottom w:w="100" w:type="dxa"/>
              <w:left w:w="160" w:type="dxa"/>
              <w:right w:w="160" w:type="dxa"/>
            </w:tcMar>
          </w:tcPr>
          <w:p>
            <w:pPr>
              <w:jc w:val="left"/>
            </w:pPr>
            <w:r>
              <w:rPr>
                <w:rFonts w:ascii="Calibri" w:hAnsi="Calibri"/>
                <w:color w:val="282C29"/>
                <w:sz w:val="18"/>
              </w:rPr>
              <w:t>($1,120,719)</w:t>
            </w:r>
          </w:p>
        </w:tc>
        <w:tc>
          <w:tcPr>
            <w:tcW w:type="dxa" w:w="1584"/>
            <w:shd w:fill="FFFFFF"/>
            <w:tcMar>
              <w:top w:w="100" w:type="dxa"/>
              <w:bottom w:w="100" w:type="dxa"/>
              <w:left w:w="160" w:type="dxa"/>
              <w:right w:w="160" w:type="dxa"/>
            </w:tcMar>
          </w:tcPr>
          <w:p>
            <w:pPr>
              <w:jc w:val="left"/>
            </w:pPr>
            <w:r>
              <w:rPr>
                <w:rFonts w:ascii="Calibri" w:hAnsi="Calibri"/>
                <w:color w:val="282C29"/>
                <w:sz w:val="18"/>
              </w:rPr>
              <w:t>($1,578,443)</w:t>
            </w:r>
          </w:p>
        </w:tc>
        <w:tc>
          <w:tcPr>
            <w:tcW w:type="dxa" w:w="1584"/>
            <w:shd w:fill="FFFFFF"/>
            <w:tcMar>
              <w:top w:w="100" w:type="dxa"/>
              <w:bottom w:w="100" w:type="dxa"/>
              <w:left w:w="160" w:type="dxa"/>
              <w:right w:w="160" w:type="dxa"/>
            </w:tcMar>
          </w:tcPr>
          <w:p>
            <w:pPr>
              <w:jc w:val="left"/>
            </w:pPr>
            <w:r>
              <w:rPr>
                <w:rFonts w:ascii="Calibri" w:hAnsi="Calibri"/>
                <w:color w:val="282C29"/>
                <w:sz w:val="18"/>
              </w:rPr>
              <w:t>($1,905,661)</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Gross Operating Profit (GOP)</w:t>
            </w:r>
          </w:p>
        </w:tc>
        <w:tc>
          <w:tcPr>
            <w:tcW w:type="dxa" w:w="1584"/>
            <w:shd w:fill="FAF8F5"/>
            <w:tcMar>
              <w:top w:w="100" w:type="dxa"/>
              <w:bottom w:w="100" w:type="dxa"/>
              <w:left w:w="160" w:type="dxa"/>
              <w:right w:w="160" w:type="dxa"/>
            </w:tcMar>
          </w:tcPr>
          <w:p>
            <w:pPr>
              <w:jc w:val="left"/>
            </w:pPr>
            <w:r>
              <w:rPr>
                <w:rFonts w:ascii="Calibri" w:hAnsi="Calibri"/>
                <w:color w:val="282C29"/>
                <w:sz w:val="18"/>
              </w:rPr>
              <w:t>$279,619</w:t>
            </w:r>
          </w:p>
        </w:tc>
        <w:tc>
          <w:tcPr>
            <w:tcW w:type="dxa" w:w="1584"/>
            <w:shd w:fill="FAF8F5"/>
            <w:tcMar>
              <w:top w:w="100" w:type="dxa"/>
              <w:bottom w:w="100" w:type="dxa"/>
              <w:left w:w="160" w:type="dxa"/>
              <w:right w:w="160" w:type="dxa"/>
            </w:tcMar>
          </w:tcPr>
          <w:p>
            <w:pPr>
              <w:jc w:val="left"/>
            </w:pPr>
            <w:r>
              <w:rPr>
                <w:rFonts w:ascii="Calibri" w:hAnsi="Calibri"/>
                <w:color w:val="282C29"/>
                <w:sz w:val="18"/>
              </w:rPr>
              <w:t>$630,405</w:t>
            </w:r>
          </w:p>
        </w:tc>
        <w:tc>
          <w:tcPr>
            <w:tcW w:type="dxa" w:w="1584"/>
            <w:shd w:fill="FAF8F5"/>
            <w:tcMar>
              <w:top w:w="100" w:type="dxa"/>
              <w:bottom w:w="100" w:type="dxa"/>
              <w:left w:w="160" w:type="dxa"/>
              <w:right w:w="160" w:type="dxa"/>
            </w:tcMar>
          </w:tcPr>
          <w:p>
            <w:pPr>
              <w:jc w:val="left"/>
            </w:pPr>
            <w:r>
              <w:rPr>
                <w:rFonts w:ascii="Calibri" w:hAnsi="Calibri"/>
                <w:color w:val="282C29"/>
                <w:sz w:val="18"/>
              </w:rPr>
              <w:t>$967,432</w:t>
            </w:r>
          </w:p>
        </w:tc>
        <w:tc>
          <w:tcPr>
            <w:tcW w:type="dxa" w:w="1584"/>
            <w:shd w:fill="FAF8F5"/>
            <w:tcMar>
              <w:top w:w="100" w:type="dxa"/>
              <w:bottom w:w="100" w:type="dxa"/>
              <w:left w:w="160" w:type="dxa"/>
              <w:right w:w="160" w:type="dxa"/>
            </w:tcMar>
          </w:tcPr>
          <w:p>
            <w:pPr>
              <w:jc w:val="left"/>
            </w:pPr>
            <w:r>
              <w:rPr>
                <w:rFonts w:ascii="Calibri" w:hAnsi="Calibri"/>
                <w:color w:val="282C29"/>
                <w:sz w:val="18"/>
              </w:rPr>
              <w:t>$1,218,374</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EBITDA</w:t>
            </w:r>
          </w:p>
        </w:tc>
        <w:tc>
          <w:tcPr>
            <w:tcW w:type="dxa" w:w="1584"/>
            <w:shd w:fill="FFFFFF"/>
            <w:tcMar>
              <w:top w:w="100" w:type="dxa"/>
              <w:bottom w:w="100" w:type="dxa"/>
              <w:left w:w="160" w:type="dxa"/>
              <w:right w:w="160" w:type="dxa"/>
            </w:tcMar>
          </w:tcPr>
          <w:p>
            <w:pPr>
              <w:jc w:val="left"/>
            </w:pPr>
            <w:r>
              <w:rPr>
                <w:rFonts w:ascii="Calibri" w:hAnsi="Calibri"/>
                <w:color w:val="282C29"/>
                <w:sz w:val="18"/>
              </w:rPr>
              <w:t>$244,667</w:t>
            </w:r>
          </w:p>
        </w:tc>
        <w:tc>
          <w:tcPr>
            <w:tcW w:type="dxa" w:w="1584"/>
            <w:shd w:fill="FFFFFF"/>
            <w:tcMar>
              <w:top w:w="100" w:type="dxa"/>
              <w:bottom w:w="100" w:type="dxa"/>
              <w:left w:w="160" w:type="dxa"/>
              <w:right w:w="160" w:type="dxa"/>
            </w:tcMar>
          </w:tcPr>
          <w:p>
            <w:pPr>
              <w:jc w:val="left"/>
            </w:pPr>
            <w:r>
              <w:rPr>
                <w:rFonts w:ascii="Calibri" w:hAnsi="Calibri"/>
                <w:color w:val="282C29"/>
                <w:sz w:val="18"/>
              </w:rPr>
              <w:t>$577,871</w:t>
            </w:r>
          </w:p>
        </w:tc>
        <w:tc>
          <w:tcPr>
            <w:tcW w:type="dxa" w:w="1584"/>
            <w:shd w:fill="FFFFFF"/>
            <w:tcMar>
              <w:top w:w="100" w:type="dxa"/>
              <w:bottom w:w="100" w:type="dxa"/>
              <w:left w:w="160" w:type="dxa"/>
              <w:right w:w="160" w:type="dxa"/>
            </w:tcMar>
          </w:tcPr>
          <w:p>
            <w:pPr>
              <w:jc w:val="left"/>
            </w:pPr>
            <w:r>
              <w:rPr>
                <w:rFonts w:ascii="Calibri" w:hAnsi="Calibri"/>
                <w:color w:val="282C29"/>
                <w:sz w:val="18"/>
              </w:rPr>
              <w:t>$891,056</w:t>
            </w:r>
          </w:p>
        </w:tc>
        <w:tc>
          <w:tcPr>
            <w:tcW w:type="dxa" w:w="1584"/>
            <w:shd w:fill="FFFFFF"/>
            <w:tcMar>
              <w:top w:w="100" w:type="dxa"/>
              <w:bottom w:w="100" w:type="dxa"/>
              <w:left w:w="160" w:type="dxa"/>
              <w:right w:w="160" w:type="dxa"/>
            </w:tcMar>
          </w:tcPr>
          <w:p>
            <w:pPr>
              <w:jc w:val="left"/>
            </w:pPr>
            <w:r>
              <w:rPr>
                <w:rFonts w:ascii="Calibri" w:hAnsi="Calibri"/>
                <w:color w:val="282C29"/>
                <w:sz w:val="18"/>
              </w:rPr>
              <w:t>$1,124,653</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EBITDA Margin (%)</w:t>
            </w:r>
          </w:p>
        </w:tc>
        <w:tc>
          <w:tcPr>
            <w:tcW w:type="dxa" w:w="1584"/>
            <w:shd w:fill="FAF8F5"/>
            <w:tcMar>
              <w:top w:w="100" w:type="dxa"/>
              <w:bottom w:w="100" w:type="dxa"/>
              <w:left w:w="160" w:type="dxa"/>
              <w:right w:w="160" w:type="dxa"/>
            </w:tcMar>
          </w:tcPr>
          <w:p>
            <w:pPr>
              <w:jc w:val="left"/>
            </w:pPr>
            <w:r>
              <w:rPr>
                <w:rFonts w:ascii="Calibri" w:hAnsi="Calibri"/>
                <w:color w:val="282C29"/>
                <w:sz w:val="18"/>
              </w:rPr>
              <w:t>28.0%</w:t>
            </w:r>
          </w:p>
        </w:tc>
        <w:tc>
          <w:tcPr>
            <w:tcW w:type="dxa" w:w="1584"/>
            <w:shd w:fill="FAF8F5"/>
            <w:tcMar>
              <w:top w:w="100" w:type="dxa"/>
              <w:bottom w:w="100" w:type="dxa"/>
              <w:left w:w="160" w:type="dxa"/>
              <w:right w:w="160" w:type="dxa"/>
            </w:tcMar>
          </w:tcPr>
          <w:p>
            <w:pPr>
              <w:jc w:val="left"/>
            </w:pPr>
            <w:r>
              <w:rPr>
                <w:rFonts w:ascii="Calibri" w:hAnsi="Calibri"/>
                <w:color w:val="282C29"/>
                <w:sz w:val="18"/>
              </w:rPr>
              <w:t>33.0%</w:t>
            </w:r>
          </w:p>
        </w:tc>
        <w:tc>
          <w:tcPr>
            <w:tcW w:type="dxa" w:w="1584"/>
            <w:shd w:fill="FAF8F5"/>
            <w:tcMar>
              <w:top w:w="100" w:type="dxa"/>
              <w:bottom w:w="100" w:type="dxa"/>
              <w:left w:w="160" w:type="dxa"/>
              <w:right w:w="160" w:type="dxa"/>
            </w:tcMar>
          </w:tcPr>
          <w:p>
            <w:pPr>
              <w:jc w:val="left"/>
            </w:pPr>
            <w:r>
              <w:rPr>
                <w:rFonts w:ascii="Calibri" w:hAnsi="Calibri"/>
                <w:color w:val="282C29"/>
                <w:sz w:val="18"/>
              </w:rPr>
              <w:t>35.0%</w:t>
            </w:r>
          </w:p>
        </w:tc>
        <w:tc>
          <w:tcPr>
            <w:tcW w:type="dxa" w:w="1584"/>
            <w:shd w:fill="FAF8F5"/>
            <w:tcMar>
              <w:top w:w="100" w:type="dxa"/>
              <w:bottom w:w="100" w:type="dxa"/>
              <w:left w:w="160" w:type="dxa"/>
              <w:right w:w="160" w:type="dxa"/>
            </w:tcMar>
          </w:tcPr>
          <w:p>
            <w:pPr>
              <w:jc w:val="left"/>
            </w:pPr>
            <w:r>
              <w:rPr>
                <w:rFonts w:ascii="Calibri" w:hAnsi="Calibri"/>
                <w:color w:val="282C29"/>
                <w:sz w:val="18"/>
              </w:rPr>
              <w:t>36.0%</w:t>
            </w:r>
          </w:p>
        </w:tc>
      </w:tr>
      <w:tr>
        <w:tc>
          <w:tcPr>
            <w:tcW w:type="dxa" w:w="3456"/>
            <w:shd w:fill="FFFFFF"/>
            <w:tcMar>
              <w:top w:w="100" w:type="dxa"/>
              <w:bottom w:w="100" w:type="dxa"/>
              <w:left w:w="160" w:type="dxa"/>
              <w:right w:w="160" w:type="dxa"/>
            </w:tcMar>
          </w:tcPr>
          <w:p>
            <w:pPr>
              <w:jc w:val="left"/>
            </w:pPr>
            <w:r>
              <w:rPr>
                <w:rFonts w:ascii="Calibri" w:hAnsi="Calibri"/>
                <w:color w:val="282C29"/>
                <w:sz w:val="18"/>
              </w:rPr>
              <w:t>Illustrative Unlevered Project IRR</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w:t>
            </w:r>
          </w:p>
        </w:tc>
        <w:tc>
          <w:tcPr>
            <w:tcW w:type="dxa" w:w="1584"/>
            <w:shd w:fill="FFFFFF"/>
            <w:tcMar>
              <w:top w:w="100" w:type="dxa"/>
              <w:bottom w:w="100" w:type="dxa"/>
              <w:left w:w="160" w:type="dxa"/>
              <w:right w:w="160" w:type="dxa"/>
            </w:tcMar>
          </w:tcPr>
          <w:p>
            <w:pPr>
              <w:jc w:val="left"/>
            </w:pPr>
            <w:r>
              <w:rPr>
                <w:rFonts w:ascii="Calibri" w:hAnsi="Calibri"/>
                <w:color w:val="282C29"/>
                <w:sz w:val="18"/>
              </w:rPr>
              <w:t>14.8%</w:t>
            </w:r>
          </w:p>
        </w:tc>
      </w:tr>
      <w:tr>
        <w:tc>
          <w:tcPr>
            <w:tcW w:type="dxa" w:w="3456"/>
            <w:shd w:fill="FAF8F5"/>
            <w:tcMar>
              <w:top w:w="100" w:type="dxa"/>
              <w:bottom w:w="100" w:type="dxa"/>
              <w:left w:w="160" w:type="dxa"/>
              <w:right w:w="160" w:type="dxa"/>
            </w:tcMar>
          </w:tcPr>
          <w:p>
            <w:pPr>
              <w:jc w:val="left"/>
            </w:pPr>
            <w:r>
              <w:rPr>
                <w:rFonts w:ascii="Calibri" w:hAnsi="Calibri"/>
                <w:color w:val="282C29"/>
                <w:sz w:val="18"/>
              </w:rPr>
              <w:t>Target Equity MOIC (10-Year)</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w:t>
            </w:r>
          </w:p>
        </w:tc>
        <w:tc>
          <w:tcPr>
            <w:tcW w:type="dxa" w:w="1584"/>
            <w:shd w:fill="FAF8F5"/>
            <w:tcMar>
              <w:top w:w="100" w:type="dxa"/>
              <w:bottom w:w="100" w:type="dxa"/>
              <w:left w:w="160" w:type="dxa"/>
              <w:right w:w="160" w:type="dxa"/>
            </w:tcMar>
          </w:tcPr>
          <w:p>
            <w:pPr>
              <w:jc w:val="left"/>
            </w:pPr>
            <w:r>
              <w:rPr>
                <w:rFonts w:ascii="Calibri" w:hAnsi="Calibri"/>
                <w:color w:val="282C29"/>
                <w:sz w:val="18"/>
              </w:rPr>
              <w:t>2.85x</w:t>
            </w:r>
          </w:p>
        </w:tc>
      </w:tr>
    </w:tbl>
    <w:p>
      <w:pPr>
        <w:spacing w:before="80" w:after="160"/>
      </w:pPr>
    </w:p>
    <w:p>
      <w:pPr>
        <w:keepNext/>
        <w:spacing w:before="320" w:after="120"/>
      </w:pPr>
      <w:r>
        <w:rPr>
          <w:rFonts w:ascii="Georgia" w:hAnsi="Georgia"/>
          <w:b/>
          <w:color w:val="19382D"/>
          <w:sz w:val="28"/>
        </w:rPr>
        <w:t>4. Development Phasing &amp; Strategic Execution</w:t>
      </w:r>
    </w:p>
    <w:p>
      <w:pPr>
        <w:spacing w:before="40" w:after="120" w:line="276" w:lineRule="auto"/>
      </w:pPr>
      <w:r>
        <w:rPr>
          <w:rFonts w:ascii="Calibri" w:hAnsi="Calibri"/>
          <w:b/>
          <w:color w:val="19382D"/>
          <w:sz w:val="20"/>
        </w:rPr>
        <w:t xml:space="preserve">Implementation Roadmap: </w:t>
      </w:r>
      <w:r>
        <w:rPr>
          <w:rFonts w:ascii="Calibri" w:hAnsi="Calibri"/>
          <w:color w:val="282C29"/>
          <w:sz w:val="20"/>
        </w:rPr>
        <w:t>To optimize capital deployment, two clear implementation options are evaluated:</w:t>
      </w:r>
    </w:p>
    <w:p>
      <w:pPr>
        <w:pStyle w:val="ListBullet"/>
        <w:spacing w:before="20" w:after="60" w:line="276" w:lineRule="auto"/>
      </w:pPr>
      <w:r>
        <w:rPr>
          <w:rFonts w:ascii="Calibri" w:hAnsi="Calibri"/>
          <w:b/>
          <w:color w:val="19382D"/>
          <w:sz w:val="20"/>
        </w:rPr>
        <w:t xml:space="preserve">Option A (Phased Delivery): </w:t>
      </w:r>
      <w:r>
        <w:rPr>
          <w:rFonts w:ascii="Calibri" w:hAnsi="Calibri"/>
          <w:color w:val="282C29"/>
          <w:sz w:val="20"/>
        </w:rPr>
        <w:t>Complete land title acquisition, install off-grid solar-water infrastructure, establish agroforestry gardens, and open 8–10 boutique suites. Minimizes upfront risk; allows market rate validation.</w:t>
      </w:r>
    </w:p>
    <w:p>
      <w:pPr>
        <w:pStyle w:val="ListBullet"/>
        <w:spacing w:before="20" w:after="60" w:line="276" w:lineRule="auto"/>
      </w:pPr>
      <w:r>
        <w:rPr>
          <w:rFonts w:ascii="Calibri" w:hAnsi="Calibri"/>
          <w:b/>
          <w:color w:val="19382D"/>
          <w:sz w:val="20"/>
        </w:rPr>
        <w:t xml:space="preserve">Option B (Unified Build - Recommended): </w:t>
      </w:r>
      <w:r>
        <w:rPr>
          <w:rFonts w:ascii="Calibri" w:hAnsi="Calibri"/>
          <w:color w:val="282C29"/>
          <w:sz w:val="20"/>
        </w:rPr>
        <w:t>Deploy the full US$2.4 million in a single 14-month construction programme delivering all 12–15 suites, dining lodge, wellness deck, and farm infrastructure simultaneously. Maximizes brand impact and avoids guest disturbance.</w:t>
      </w:r>
    </w:p>
    <w:p>
      <w:pPr>
        <w:keepNext/>
        <w:spacing w:before="320" w:after="120"/>
      </w:pPr>
      <w:r>
        <w:rPr>
          <w:rFonts w:ascii="Georgia" w:hAnsi="Georgia"/>
          <w:b/>
          <w:color w:val="19382D"/>
          <w:sz w:val="28"/>
        </w:rPr>
        <w:t>5. Due Diligence &amp; Investor Next Steps</w:t>
      </w:r>
    </w:p>
    <w:p>
      <w:pPr>
        <w:spacing w:before="40" w:after="120" w:line="276" w:lineRule="auto"/>
      </w:pPr>
      <w:r>
        <w:rPr>
          <w:rFonts w:ascii="Calibri" w:hAnsi="Calibri"/>
          <w:color w:val="282C29"/>
          <w:sz w:val="20"/>
        </w:rPr>
        <w:t>Qualified investors are invited to access the secure online data room to review:</w:t>
      </w:r>
    </w:p>
    <w:p>
      <w:pPr>
        <w:pStyle w:val="ListBullet"/>
        <w:spacing w:before="20" w:after="60" w:line="276" w:lineRule="auto"/>
      </w:pPr>
      <w:r>
        <w:rPr>
          <w:rFonts w:ascii="Calibri" w:hAnsi="Calibri"/>
          <w:color w:val="282C29"/>
          <w:sz w:val="20"/>
        </w:rPr>
        <w:t>Title deed documentation and official registry searches for the owned 8.0 hectares.</w:t>
      </w:r>
    </w:p>
    <w:p>
      <w:pPr>
        <w:pStyle w:val="ListBullet"/>
        <w:spacing w:before="20" w:after="60" w:line="276" w:lineRule="auto"/>
      </w:pPr>
      <w:r>
        <w:rPr>
          <w:rFonts w:ascii="Calibri" w:hAnsi="Calibri"/>
          <w:color w:val="282C29"/>
          <w:sz w:val="20"/>
        </w:rPr>
        <w:t>Draft Sale &amp; Purchase Agreement (SPA) framework for the proposed ~7.0 hectare parcel.</w:t>
      </w:r>
    </w:p>
    <w:p>
      <w:pPr>
        <w:pStyle w:val="ListBullet"/>
        <w:spacing w:before="20" w:after="60" w:line="276" w:lineRule="auto"/>
      </w:pPr>
      <w:r>
        <w:rPr>
          <w:rFonts w:ascii="Calibri" w:hAnsi="Calibri"/>
          <w:color w:val="282C29"/>
          <w:sz w:val="20"/>
        </w:rPr>
        <w:t>Interactive 10-Year Illustrative Financial Model (XLSX) with customizable yield assumptions.</w:t>
      </w:r>
    </w:p>
    <w:p>
      <w:pPr>
        <w:pStyle w:val="ListBullet"/>
        <w:spacing w:before="20" w:after="60" w:line="276" w:lineRule="auto"/>
      </w:pPr>
      <w:r>
        <w:rPr>
          <w:rFonts w:ascii="Calibri" w:hAnsi="Calibri"/>
          <w:color w:val="282C29"/>
          <w:sz w:val="20"/>
        </w:rPr>
        <w:t>Preliminary Quantity Surveyor (QS) cost benchmarking and construction bills of quantities.</w:t>
      </w:r>
    </w:p>
    <w:p>
      <w:pPr>
        <w:pStyle w:val="ListBullet"/>
        <w:spacing w:before="20" w:after="60" w:line="276" w:lineRule="auto"/>
      </w:pPr>
      <w:r>
        <w:rPr>
          <w:rFonts w:ascii="Calibri" w:hAnsi="Calibri"/>
          <w:color w:val="282C29"/>
          <w:sz w:val="20"/>
        </w:rPr>
        <w:t>NEMA Environmental Impact Assessment pathway and County physical planning guidelines.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69696"/>
        <w:sz w:val="16"/>
      </w:rPr>
      <w:t>CONFIDENTIAL — FOR QUALIFIED INVESTOR REVIEW ONLY — SEGERA, LAIKIPIA, KENYA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A88B65"/>
        <w:sz w:val="16"/>
      </w:rPr>
      <w:t>JONIK NDOVU FARM · DOC-02 · TIER 2 REGISTERED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