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A88B65"/>
          <w:sz w:val="18"/>
        </w:rPr>
        <w:t>JONIK NDOVU FARM INVESTOR PACKAGE · INVESTMENT OVERVIEW</w:t>
      </w:r>
    </w:p>
    <w:p>
      <w:pPr>
        <w:spacing w:before="40" w:after="80"/>
      </w:pPr>
      <w:r>
        <w:rPr>
          <w:rFonts w:ascii="Georgia" w:hAnsi="Georgia"/>
          <w:b/>
          <w:color w:val="19382D"/>
          <w:sz w:val="44"/>
        </w:rPr>
        <w:t>Master Investment Case</w:t>
      </w:r>
    </w:p>
    <w:p>
      <w:pPr>
        <w:spacing w:before="0" w:after="280"/>
      </w:pPr>
      <w:r>
        <w:rPr>
          <w:rFonts w:ascii="Calibri" w:hAnsi="Calibri"/>
          <w:color w:val="646464"/>
          <w:sz w:val="21"/>
        </w:rPr>
        <w:t>Institutional Investment Memorandum — Concept, Economics, Spatial Masterplan &amp; Diligence</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72"/>
            <w:shd w:fill="19382D"/>
            <w:tcMar>
              <w:top w:w="140" w:type="dxa"/>
              <w:bottom w:w="140" w:type="dxa"/>
              <w:left w:w="180" w:type="dxa"/>
              <w:right w:w="180" w:type="dxa"/>
            </w:tcMar>
          </w:tcPr>
          <w:p>
            <w:pPr>
              <w:jc w:val="left"/>
            </w:pPr>
            <w:r>
              <w:rPr>
                <w:rFonts w:ascii="Calibri" w:hAnsi="Calibri"/>
                <w:b/>
                <w:color w:val="F7F4EC"/>
                <w:sz w:val="19"/>
              </w:rPr>
              <w:t>Document ID</w:t>
            </w:r>
          </w:p>
        </w:tc>
        <w:tc>
          <w:tcPr>
            <w:tcW w:type="dxa" w:w="1728"/>
            <w:shd w:fill="19382D"/>
            <w:tcMar>
              <w:top w:w="140" w:type="dxa"/>
              <w:bottom w:w="140" w:type="dxa"/>
              <w:left w:w="180" w:type="dxa"/>
              <w:right w:w="180" w:type="dxa"/>
            </w:tcMar>
          </w:tcPr>
          <w:p>
            <w:pPr>
              <w:jc w:val="left"/>
            </w:pPr>
            <w:r>
              <w:rPr>
                <w:rFonts w:ascii="Calibri" w:hAnsi="Calibri"/>
                <w:b/>
                <w:color w:val="F7F4EC"/>
                <w:sz w:val="19"/>
              </w:rPr>
              <w:t>Version</w:t>
            </w:r>
          </w:p>
        </w:tc>
        <w:tc>
          <w:tcPr>
            <w:tcW w:type="dxa" w:w="1872"/>
            <w:shd w:fill="19382D"/>
            <w:tcMar>
              <w:top w:w="140" w:type="dxa"/>
              <w:bottom w:w="140" w:type="dxa"/>
              <w:left w:w="180" w:type="dxa"/>
              <w:right w:w="180" w:type="dxa"/>
            </w:tcMar>
          </w:tcPr>
          <w:p>
            <w:pPr>
              <w:jc w:val="left"/>
            </w:pPr>
            <w:r>
              <w:rPr>
                <w:rFonts w:ascii="Calibri" w:hAnsi="Calibri"/>
                <w:b/>
                <w:color w:val="F7F4EC"/>
                <w:sz w:val="19"/>
              </w:rPr>
              <w:t>Date</w:t>
            </w:r>
          </w:p>
        </w:tc>
        <w:tc>
          <w:tcPr>
            <w:tcW w:type="dxa" w:w="2592"/>
            <w:shd w:fill="19382D"/>
            <w:tcMar>
              <w:top w:w="140" w:type="dxa"/>
              <w:bottom w:w="140" w:type="dxa"/>
              <w:left w:w="180" w:type="dxa"/>
              <w:right w:w="180" w:type="dxa"/>
            </w:tcMar>
          </w:tcPr>
          <w:p>
            <w:pPr>
              <w:jc w:val="left"/>
            </w:pPr>
            <w:r>
              <w:rPr>
                <w:rFonts w:ascii="Calibri" w:hAnsi="Calibri"/>
                <w:b/>
                <w:color w:val="F7F4EC"/>
                <w:sz w:val="19"/>
              </w:rPr>
              <w:t>Confidentiality Tier</w:t>
            </w:r>
          </w:p>
        </w:tc>
        <w:tc>
          <w:tcPr>
            <w:tcW w:type="dxa" w:w="1728"/>
            <w:shd w:fill="19382D"/>
            <w:tcMar>
              <w:top w:w="140" w:type="dxa"/>
              <w:bottom w:w="140" w:type="dxa"/>
              <w:left w:w="180" w:type="dxa"/>
              <w:right w:w="180" w:type="dxa"/>
            </w:tcMar>
          </w:tcPr>
          <w:p>
            <w:pPr>
              <w:jc w:val="left"/>
            </w:pPr>
            <w:r>
              <w:rPr>
                <w:rFonts w:ascii="Calibri" w:hAnsi="Calibri"/>
                <w:b/>
                <w:color w:val="F7F4EC"/>
                <w:sz w:val="19"/>
              </w:rPr>
              <w:t>Project Status</w:t>
            </w:r>
          </w:p>
        </w:tc>
      </w:tr>
      <w:tr>
        <w:tc>
          <w:tcPr>
            <w:tcW w:type="dxa" w:w="1872"/>
            <w:shd w:fill="FFFFFF"/>
            <w:tcMar>
              <w:top w:w="100" w:type="dxa"/>
              <w:bottom w:w="100" w:type="dxa"/>
              <w:left w:w="160" w:type="dxa"/>
              <w:right w:w="160" w:type="dxa"/>
            </w:tcMar>
          </w:tcPr>
          <w:p>
            <w:pPr>
              <w:jc w:val="left"/>
            </w:pPr>
            <w:r>
              <w:rPr>
                <w:rFonts w:ascii="Calibri" w:hAnsi="Calibri"/>
                <w:color w:val="282C29"/>
                <w:sz w:val="18"/>
              </w:rPr>
              <w:t>DOC-04</w:t>
            </w:r>
          </w:p>
        </w:tc>
        <w:tc>
          <w:tcPr>
            <w:tcW w:type="dxa" w:w="1728"/>
            <w:shd w:fill="FFFFFF"/>
            <w:tcMar>
              <w:top w:w="100" w:type="dxa"/>
              <w:bottom w:w="100" w:type="dxa"/>
              <w:left w:w="160" w:type="dxa"/>
              <w:right w:w="160" w:type="dxa"/>
            </w:tcMar>
          </w:tcPr>
          <w:p>
            <w:pPr>
              <w:jc w:val="left"/>
            </w:pPr>
            <w:r>
              <w:rPr>
                <w:rFonts w:ascii="Calibri" w:hAnsi="Calibri"/>
                <w:color w:val="282C29"/>
                <w:sz w:val="18"/>
              </w:rPr>
              <w:t>V3.0 Verified</w:t>
            </w:r>
          </w:p>
        </w:tc>
        <w:tc>
          <w:tcPr>
            <w:tcW w:type="dxa" w:w="1872"/>
            <w:shd w:fill="FFFFFF"/>
            <w:tcMar>
              <w:top w:w="100" w:type="dxa"/>
              <w:bottom w:w="100" w:type="dxa"/>
              <w:left w:w="160" w:type="dxa"/>
              <w:right w:w="160" w:type="dxa"/>
            </w:tcMar>
          </w:tcPr>
          <w:p>
            <w:pPr>
              <w:jc w:val="left"/>
            </w:pPr>
            <w:r>
              <w:rPr>
                <w:rFonts w:ascii="Calibri" w:hAnsi="Calibri"/>
                <w:color w:val="282C29"/>
                <w:sz w:val="18"/>
              </w:rPr>
              <w:t>October 2026</w:t>
            </w:r>
          </w:p>
        </w:tc>
        <w:tc>
          <w:tcPr>
            <w:tcW w:type="dxa" w:w="2592"/>
            <w:shd w:fill="FFFFFF"/>
            <w:tcMar>
              <w:top w:w="100" w:type="dxa"/>
              <w:bottom w:w="100" w:type="dxa"/>
              <w:left w:w="160" w:type="dxa"/>
              <w:right w:w="160" w:type="dxa"/>
            </w:tcMar>
          </w:tcPr>
          <w:p>
            <w:pPr>
              <w:jc w:val="left"/>
            </w:pPr>
            <w:r>
              <w:rPr>
                <w:rFonts w:ascii="Calibri" w:hAnsi="Calibri"/>
                <w:color w:val="282C29"/>
                <w:sz w:val="18"/>
              </w:rPr>
              <w:t>Tier 3 Approved</w:t>
            </w:r>
          </w:p>
        </w:tc>
        <w:tc>
          <w:tcPr>
            <w:tcW w:type="dxa" w:w="1728"/>
            <w:shd w:fill="FFFFFF"/>
            <w:tcMar>
              <w:top w:w="100" w:type="dxa"/>
              <w:bottom w:w="100" w:type="dxa"/>
              <w:left w:w="160" w:type="dxa"/>
              <w:right w:w="160" w:type="dxa"/>
            </w:tcMar>
          </w:tcPr>
          <w:p>
            <w:pPr>
              <w:jc w:val="left"/>
            </w:pPr>
            <w:r>
              <w:rPr>
                <w:rFonts w:ascii="Calibri" w:hAnsi="Calibri"/>
                <w:color w:val="282C29"/>
                <w:sz w:val="18"/>
              </w:rPr>
              <w:t>Active Diligence</w:t>
            </w:r>
          </w:p>
        </w:tc>
      </w:tr>
    </w:tbl>
    <w:p>
      <w:pPr>
        <w:spacing w:before="80" w:after="160"/>
      </w:pPr>
    </w:p>
    <w:tbl>
      <w:tblPr>
        <w:tblW w:type="auto" w:w="0"/>
        <w:jc w:val="center"/>
        <w:tblLayout w:type="fixed"/>
        <w:tblLook w:firstColumn="1" w:firstRow="1" w:lastColumn="0" w:lastRow="0" w:noHBand="0" w:noVBand="1" w:val="04A0"/>
      </w:tblPr>
      <w:tblGrid>
        <w:gridCol w:w="9792"/>
      </w:tblGrid>
      <w:tr>
        <w:tc>
          <w:tcPr>
            <w:tcW w:type="dxa" w:w="9792"/>
            <w:shd w:fill="F7F4EC"/>
            <w:tcMar>
              <w:top w:w="160" w:type="dxa"/>
              <w:bottom w:w="160" w:type="dxa"/>
              <w:left w:w="240" w:type="dxa"/>
              <w:right w:w="200" w:type="dxa"/>
            </w:tcMar>
            <w:tcBorders>
              <w:top w:val="none"/>
              <w:left w:val="single" w:sz="24" w:space="0" w:color="A88B65"/>
              <w:bottom w:val="none"/>
              <w:right w:val="none"/>
            </w:tcBorders>
          </w:tcPr>
          <w:p>
            <w:pPr>
              <w:spacing w:before="40" w:after="40"/>
            </w:pPr>
            <w:r>
              <w:rPr>
                <w:rFonts w:ascii="Calibri" w:hAnsi="Calibri"/>
                <w:b/>
                <w:color w:val="A88B65"/>
                <w:sz w:val="19"/>
              </w:rPr>
              <w:t>INSTITUTIONAL INVESTMENT PROPOSITION</w:t>
              <w:br/>
            </w:r>
            <w:r>
              <w:rPr>
                <w:rFonts w:ascii="Georgia" w:hAnsi="Georgia"/>
                <w:i/>
                <w:color w:val="19382D"/>
                <w:sz w:val="19"/>
              </w:rPr>
              <w:t>Jonik Ndovu Farm presents an institutional opportunity to capitalize on the rapid convergence of luxury eco-hospitality, regenerative agro-tourism, and conservation travel in East Africa. Starting from 8.0 hectares already owned by the sponsors in Segera, Laikipia, the project proposes to deploy US$2.4 million of total capital to fund destination infrastructure, construct 12–15 bespoke low-impact guest pavilions, establish world-class permaculture landscapes, and complete the acquisition of approximately 7 adjacent hectares to assemble an ultimate 15.0-hectare destination footprint.</w:t>
            </w:r>
          </w:p>
        </w:tc>
      </w:tr>
    </w:tbl>
    <w:p>
      <w:pPr>
        <w:spacing w:before="80" w:after="160"/>
      </w:pPr>
    </w:p>
    <w:p>
      <w:pPr>
        <w:keepNext/>
        <w:spacing w:before="320" w:after="120"/>
      </w:pPr>
      <w:r>
        <w:rPr>
          <w:rFonts w:ascii="Georgia" w:hAnsi="Georgia"/>
          <w:b/>
          <w:color w:val="19382D"/>
          <w:sz w:val="28"/>
        </w:rPr>
        <w:t>1. Strategic Investment Thesis &amp; Differentiating Model</w:t>
      </w:r>
    </w:p>
    <w:p>
      <w:pPr>
        <w:spacing w:before="40" w:after="120" w:line="276" w:lineRule="auto"/>
      </w:pPr>
      <w:r>
        <w:t>Traditional luxury safari lodges in Kenya operate as single-purpose wildlife-viewing hubs with extreme overheads, seasonal volatility, and isolated supply chains. Conversely, commercial agriculture ventures lack experiential monetization and frequently sever wildlife migration corridors. Jonik Ndovu Farm bridges this divide by developing an integrated destination agro-resort situated in Segera, Laikipia County—directly bordering major wildlife zones including Lewa Wildlife Conservancy and Ol Pejeta Conservancy.</w:t>
      </w:r>
    </w:p>
    <w:p>
      <w:pPr>
        <w:pStyle w:val="ListBullet"/>
        <w:spacing w:before="20" w:after="60" w:line="276" w:lineRule="auto"/>
      </w:pPr>
      <w:r>
        <w:rPr>
          <w:rFonts w:ascii="Calibri" w:hAnsi="Calibri"/>
          <w:b/>
          <w:color w:val="19382D"/>
          <w:sz w:val="20"/>
        </w:rPr>
        <w:t xml:space="preserve">Hospitality is the Commercial Engine: </w:t>
      </w:r>
      <w:r>
        <w:rPr>
          <w:rFonts w:ascii="Calibri" w:hAnsi="Calibri"/>
          <w:color w:val="282C29"/>
          <w:sz w:val="20"/>
        </w:rPr>
        <w:t>High-yielding boutique accommodation (12–15 suites hosting max 24–30 guests) generates robust base cash flows at target ADRs of US$380–$560.</w:t>
      </w:r>
    </w:p>
    <w:p>
      <w:pPr>
        <w:pStyle w:val="ListBullet"/>
        <w:spacing w:before="20" w:after="60" w:line="276" w:lineRule="auto"/>
      </w:pPr>
      <w:r>
        <w:rPr>
          <w:rFonts w:ascii="Calibri" w:hAnsi="Calibri"/>
          <w:b/>
          <w:color w:val="19382D"/>
          <w:sz w:val="20"/>
        </w:rPr>
        <w:t xml:space="preserve">Agriculture is the Experiential Driver: </w:t>
      </w:r>
      <w:r>
        <w:rPr>
          <w:rFonts w:ascii="Calibri" w:hAnsi="Calibri"/>
          <w:color w:val="282C29"/>
          <w:sz w:val="20"/>
        </w:rPr>
        <w:t>Organic orchards, apiaries, heirloom vegetable gardens, and rotational grazing provide culinary differentiation, guest engagement, and brand identity.</w:t>
      </w:r>
    </w:p>
    <w:p>
      <w:pPr>
        <w:pStyle w:val="ListBullet"/>
        <w:spacing w:before="20" w:after="60" w:line="276" w:lineRule="auto"/>
      </w:pPr>
      <w:r>
        <w:rPr>
          <w:rFonts w:ascii="Calibri" w:hAnsi="Calibri"/>
          <w:b/>
          <w:color w:val="19382D"/>
          <w:sz w:val="20"/>
        </w:rPr>
        <w:t xml:space="preserve">Holistic Destination Experience: </w:t>
      </w:r>
      <w:r>
        <w:rPr>
          <w:rFonts w:ascii="Calibri" w:hAnsi="Calibri"/>
          <w:color w:val="282C29"/>
          <w:sz w:val="20"/>
        </w:rPr>
        <w:t>A multi-day guest journey incorporating culinary masterclasses, permaculture walks, wellness treatments, and stargazing reduces reliance on motorized game drives.</w:t>
      </w:r>
    </w:p>
    <w:p>
      <w:pPr>
        <w:pStyle w:val="ListBullet"/>
        <w:spacing w:before="20" w:after="60" w:line="276" w:lineRule="auto"/>
      </w:pPr>
      <w:r>
        <w:rPr>
          <w:rFonts w:ascii="Calibri" w:hAnsi="Calibri"/>
          <w:b/>
          <w:color w:val="19382D"/>
          <w:sz w:val="20"/>
        </w:rPr>
        <w:t xml:space="preserve">Disciplined Unit Capitalization: </w:t>
      </w:r>
      <w:r>
        <w:rPr>
          <w:rFonts w:ascii="Calibri" w:hAnsi="Calibri"/>
          <w:color w:val="282C29"/>
          <w:sz w:val="20"/>
        </w:rPr>
        <w:t>Strict capital containment at US$2.4M ensures rapid pathway to positive cash generation and an unlevered project IRR of ~14.8%.</w:t>
      </w:r>
    </w:p>
    <w:p>
      <w:pPr>
        <w:keepNext/>
        <w:spacing w:before="320" w:after="120"/>
      </w:pPr>
      <w:r>
        <w:rPr>
          <w:rFonts w:ascii="Georgia" w:hAnsi="Georgia"/>
          <w:b/>
          <w:color w:val="19382D"/>
          <w:sz w:val="28"/>
        </w:rPr>
        <w:t>2. Macro Tourism &amp; Regional Laikipia Dynamics</w:t>
      </w:r>
    </w:p>
    <w:p>
      <w:pPr>
        <w:spacing w:before="40" w:after="120" w:line="276" w:lineRule="auto"/>
      </w:pPr>
      <w:r>
        <w:t>Laikipia County has emerged as Kenya's premier private conservation and high-value safari ecosystem, housing over 50% of the country's black rhino population and second-largest elephant herd. Segera directly borders major neighboring wildlife zones in the Laikipia ecosystem, including the Lewa Wildlife Conservancy (UNESCO World Heritage Site, pioneering rhino stronghold, and world's largest Grevy's zebra population) and Ol Pejeta Conservancy (East Africa's largest black rhino sanctuary and highest apex predator density in Kenya).</w:t>
        <w:br/>
        <w:br/>
        <w:t>Unlike heavily congested state parks, this landscape offers exclusivity, authentic pastoral culture, and expansive open-range wilderness. Jonik Ndovu Farm is strategically positioned to offer guests dawn big-game tracking at Lewa and Ol Pejeta, returning to the tranquil serenity of an organic farm retreat.</w:t>
      </w:r>
    </w:p>
    <w:p>
      <w:pPr>
        <w:spacing w:before="40" w:after="120" w:line="276" w:lineRule="auto"/>
      </w:pPr>
      <w:r>
        <w:rPr>
          <w:rFonts w:ascii="Calibri" w:hAnsi="Calibri"/>
          <w:color w:val="282C29"/>
          <w:sz w:val="20"/>
        </w:rPr>
        <w:t>Market analysis identifies three distinct visitor segments underpinning demand for Jonik Ndovu Farm:</w:t>
      </w:r>
    </w:p>
    <w:p>
      <w:pPr>
        <w:pStyle w:val="ListBullet"/>
        <w:spacing w:before="20" w:after="60" w:line="276" w:lineRule="auto"/>
      </w:pPr>
      <w:r>
        <w:rPr>
          <w:rFonts w:ascii="Calibri" w:hAnsi="Calibri"/>
          <w:b/>
          <w:color w:val="19382D"/>
          <w:sz w:val="20"/>
        </w:rPr>
        <w:t xml:space="preserve">International Conservation &amp; Eco-Travelers (55%): </w:t>
      </w:r>
      <w:r>
        <w:rPr>
          <w:rFonts w:ascii="Calibri" w:hAnsi="Calibri"/>
          <w:color w:val="282C29"/>
          <w:sz w:val="20"/>
        </w:rPr>
        <w:t>High-net-worth international travelers seeking intimate, sustainable eco-resorts with authentic farm-to-table culinary narratives (ADR US$450–$650, Length of Stay 3–4 nights).</w:t>
      </w:r>
    </w:p>
    <w:p>
      <w:pPr>
        <w:pStyle w:val="ListBullet"/>
        <w:spacing w:before="20" w:after="60" w:line="276" w:lineRule="auto"/>
      </w:pPr>
      <w:r>
        <w:rPr>
          <w:rFonts w:ascii="Calibri" w:hAnsi="Calibri"/>
          <w:b/>
          <w:color w:val="19382D"/>
          <w:sz w:val="20"/>
        </w:rPr>
        <w:t xml:space="preserve">Domestic &amp; Regional Weekend Escapes (30%): </w:t>
      </w:r>
      <w:r>
        <w:rPr>
          <w:rFonts w:ascii="Calibri" w:hAnsi="Calibri"/>
          <w:color w:val="282C29"/>
          <w:sz w:val="20"/>
        </w:rPr>
        <w:t>Senior business executives, diplomats, and affluent families seeking tranquil nature retreats within comfortable driving distance from Nairobi (ADR US$320–$420, Length of Stay 2 nights).</w:t>
      </w:r>
    </w:p>
    <w:p>
      <w:pPr>
        <w:pStyle w:val="ListBullet"/>
        <w:spacing w:before="20" w:after="60" w:line="276" w:lineRule="auto"/>
      </w:pPr>
      <w:r>
        <w:rPr>
          <w:rFonts w:ascii="Calibri" w:hAnsi="Calibri"/>
          <w:b/>
          <w:color w:val="19382D"/>
          <w:sz w:val="20"/>
        </w:rPr>
        <w:t xml:space="preserve">Corporate Retreats &amp; Buyouts (15%): </w:t>
      </w:r>
      <w:r>
        <w:rPr>
          <w:rFonts w:ascii="Calibri" w:hAnsi="Calibri"/>
          <w:color w:val="282C29"/>
          <w:sz w:val="20"/>
        </w:rPr>
        <w:t>Executive leadership retreats, wellness intensives, and private celebrations during off-peak midweek windows, smoothing seasonality.</w:t>
      </w:r>
    </w:p>
    <w:p>
      <w:pPr>
        <w:keepNext/>
        <w:spacing w:before="320" w:after="120"/>
      </w:pPr>
      <w:r>
        <w:rPr>
          <w:rFonts w:ascii="Georgia" w:hAnsi="Georgia"/>
          <w:b/>
          <w:color w:val="19382D"/>
          <w:sz w:val="28"/>
        </w:rPr>
        <w:t>3. Land Tenure, Assembly &amp; Spatial Masterplan</w:t>
      </w:r>
    </w:p>
    <w:p>
      <w:pPr>
        <w:spacing w:before="40" w:after="120" w:line="276" w:lineRule="auto"/>
      </w:pPr>
      <w:r>
        <w:rPr>
          <w:rFonts w:ascii="Calibri" w:hAnsi="Calibri"/>
          <w:color w:val="282C29"/>
          <w:sz w:val="20"/>
        </w:rPr>
        <w:t>The project's land strategy couples immediate security with programmatic expansion. 8.0 hectares (19.8 acres) are already owned by Jonik Ndovu Farm. An adjacent parcel of approximately 7.0 hectares (17.3 acres) is currently in advanced bilateral negotiation, with acquisition funds fully ring-fenced within the US$2.4M capital plan.</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880"/>
            <w:shd w:fill="19382D"/>
            <w:tcMar>
              <w:top w:w="140" w:type="dxa"/>
              <w:bottom w:w="140" w:type="dxa"/>
              <w:left w:w="180" w:type="dxa"/>
              <w:right w:w="180" w:type="dxa"/>
            </w:tcMar>
          </w:tcPr>
          <w:p>
            <w:pPr>
              <w:jc w:val="left"/>
            </w:pPr>
            <w:r>
              <w:rPr>
                <w:rFonts w:ascii="Calibri" w:hAnsi="Calibri"/>
                <w:b/>
                <w:color w:val="F7F4EC"/>
                <w:sz w:val="19"/>
              </w:rPr>
              <w:t>Masterplan Zone</w:t>
            </w:r>
          </w:p>
        </w:tc>
        <w:tc>
          <w:tcPr>
            <w:tcW w:type="dxa" w:w="1296"/>
            <w:shd w:fill="19382D"/>
            <w:tcMar>
              <w:top w:w="140" w:type="dxa"/>
              <w:bottom w:w="140" w:type="dxa"/>
              <w:left w:w="180" w:type="dxa"/>
              <w:right w:w="180" w:type="dxa"/>
            </w:tcMar>
          </w:tcPr>
          <w:p>
            <w:pPr>
              <w:jc w:val="left"/>
            </w:pPr>
            <w:r>
              <w:rPr>
                <w:rFonts w:ascii="Calibri" w:hAnsi="Calibri"/>
                <w:b/>
                <w:color w:val="F7F4EC"/>
                <w:sz w:val="19"/>
              </w:rPr>
              <w:t>Core 8 ha</w:t>
            </w:r>
          </w:p>
        </w:tc>
        <w:tc>
          <w:tcPr>
            <w:tcW w:type="dxa" w:w="1296"/>
            <w:shd w:fill="19382D"/>
            <w:tcMar>
              <w:top w:w="140" w:type="dxa"/>
              <w:bottom w:w="140" w:type="dxa"/>
              <w:left w:w="180" w:type="dxa"/>
              <w:right w:w="180" w:type="dxa"/>
            </w:tcMar>
          </w:tcPr>
          <w:p>
            <w:pPr>
              <w:jc w:val="left"/>
            </w:pPr>
            <w:r>
              <w:rPr>
                <w:rFonts w:ascii="Calibri" w:hAnsi="Calibri"/>
                <w:b/>
                <w:color w:val="F7F4EC"/>
                <w:sz w:val="19"/>
              </w:rPr>
              <w:t>Expansion ~7 ha</w:t>
            </w:r>
          </w:p>
        </w:tc>
        <w:tc>
          <w:tcPr>
            <w:tcW w:type="dxa" w:w="1296"/>
            <w:shd w:fill="19382D"/>
            <w:tcMar>
              <w:top w:w="140" w:type="dxa"/>
              <w:bottom w:w="140" w:type="dxa"/>
              <w:left w:w="180" w:type="dxa"/>
              <w:right w:w="180" w:type="dxa"/>
            </w:tcMar>
          </w:tcPr>
          <w:p>
            <w:pPr>
              <w:jc w:val="left"/>
            </w:pPr>
            <w:r>
              <w:rPr>
                <w:rFonts w:ascii="Calibri" w:hAnsi="Calibri"/>
                <w:b/>
                <w:color w:val="F7F4EC"/>
                <w:sz w:val="19"/>
              </w:rPr>
              <w:t>Total 15 ha</w:t>
            </w:r>
          </w:p>
        </w:tc>
        <w:tc>
          <w:tcPr>
            <w:tcW w:type="dxa" w:w="3312"/>
            <w:shd w:fill="19382D"/>
            <w:tcMar>
              <w:top w:w="140" w:type="dxa"/>
              <w:bottom w:w="140" w:type="dxa"/>
              <w:left w:w="180" w:type="dxa"/>
              <w:right w:w="180" w:type="dxa"/>
            </w:tcMar>
          </w:tcPr>
          <w:p>
            <w:pPr>
              <w:jc w:val="left"/>
            </w:pPr>
            <w:r>
              <w:rPr>
                <w:rFonts w:ascii="Calibri" w:hAnsi="Calibri"/>
                <w:b/>
                <w:color w:val="F7F4EC"/>
                <w:sz w:val="19"/>
              </w:rPr>
              <w:t>Design &amp; Operational Function</w:t>
            </w:r>
          </w:p>
        </w:tc>
      </w:tr>
      <w:tr>
        <w:tc>
          <w:tcPr>
            <w:tcW w:type="dxa" w:w="2880"/>
            <w:shd w:fill="FFFFFF"/>
            <w:tcMar>
              <w:top w:w="100" w:type="dxa"/>
              <w:bottom w:w="100" w:type="dxa"/>
              <w:left w:w="160" w:type="dxa"/>
              <w:right w:w="160" w:type="dxa"/>
            </w:tcMar>
          </w:tcPr>
          <w:p>
            <w:pPr>
              <w:jc w:val="left"/>
            </w:pPr>
            <w:r>
              <w:rPr>
                <w:rFonts w:ascii="Calibri" w:hAnsi="Calibri"/>
                <w:color w:val="282C29"/>
                <w:sz w:val="18"/>
              </w:rPr>
              <w:t>Hospitality &amp; Guest Pavilions</w:t>
            </w:r>
          </w:p>
        </w:tc>
        <w:tc>
          <w:tcPr>
            <w:tcW w:type="dxa" w:w="1296"/>
            <w:shd w:fill="FFFFFF"/>
            <w:tcMar>
              <w:top w:w="100" w:type="dxa"/>
              <w:bottom w:w="100" w:type="dxa"/>
              <w:left w:w="160" w:type="dxa"/>
              <w:right w:w="160" w:type="dxa"/>
            </w:tcMar>
          </w:tcPr>
          <w:p>
            <w:pPr>
              <w:jc w:val="left"/>
            </w:pPr>
            <w:r>
              <w:rPr>
                <w:rFonts w:ascii="Calibri" w:hAnsi="Calibri"/>
                <w:color w:val="282C29"/>
                <w:sz w:val="18"/>
              </w:rPr>
              <w:t>1.20 ha</w:t>
            </w:r>
          </w:p>
        </w:tc>
        <w:tc>
          <w:tcPr>
            <w:tcW w:type="dxa" w:w="1296"/>
            <w:shd w:fill="FFFFFF"/>
            <w:tcMar>
              <w:top w:w="100" w:type="dxa"/>
              <w:bottom w:w="100" w:type="dxa"/>
              <w:left w:w="160" w:type="dxa"/>
              <w:right w:w="160" w:type="dxa"/>
            </w:tcMar>
          </w:tcPr>
          <w:p>
            <w:pPr>
              <w:jc w:val="left"/>
            </w:pPr>
            <w:r>
              <w:rPr>
                <w:rFonts w:ascii="Calibri" w:hAnsi="Calibri"/>
                <w:color w:val="282C29"/>
                <w:sz w:val="18"/>
              </w:rPr>
              <w:t>0.40 ha</w:t>
            </w:r>
          </w:p>
        </w:tc>
        <w:tc>
          <w:tcPr>
            <w:tcW w:type="dxa" w:w="1296"/>
            <w:shd w:fill="FFFFFF"/>
            <w:tcMar>
              <w:top w:w="100" w:type="dxa"/>
              <w:bottom w:w="100" w:type="dxa"/>
              <w:left w:w="160" w:type="dxa"/>
              <w:right w:w="160" w:type="dxa"/>
            </w:tcMar>
          </w:tcPr>
          <w:p>
            <w:pPr>
              <w:jc w:val="left"/>
            </w:pPr>
            <w:r>
              <w:rPr>
                <w:rFonts w:ascii="Calibri" w:hAnsi="Calibri"/>
                <w:color w:val="282C29"/>
                <w:sz w:val="18"/>
              </w:rPr>
              <w:t>1.60 ha</w:t>
            </w:r>
          </w:p>
        </w:tc>
        <w:tc>
          <w:tcPr>
            <w:tcW w:type="dxa" w:w="3312"/>
            <w:shd w:fill="FFFFFF"/>
            <w:tcMar>
              <w:top w:w="100" w:type="dxa"/>
              <w:bottom w:w="100" w:type="dxa"/>
              <w:left w:w="160" w:type="dxa"/>
              <w:right w:w="160" w:type="dxa"/>
            </w:tcMar>
          </w:tcPr>
          <w:p>
            <w:pPr>
              <w:jc w:val="left"/>
            </w:pPr>
            <w:r>
              <w:rPr>
                <w:rFonts w:ascii="Calibri" w:hAnsi="Calibri"/>
                <w:color w:val="282C29"/>
                <w:sz w:val="18"/>
              </w:rPr>
              <w:t>12–15 guest suites, main dining lodge, arrival lounge, wellness deck.</w:t>
            </w:r>
          </w:p>
        </w:tc>
      </w:tr>
      <w:tr>
        <w:tc>
          <w:tcPr>
            <w:tcW w:type="dxa" w:w="2880"/>
            <w:shd w:fill="FAF8F5"/>
            <w:tcMar>
              <w:top w:w="100" w:type="dxa"/>
              <w:bottom w:w="100" w:type="dxa"/>
              <w:left w:w="160" w:type="dxa"/>
              <w:right w:w="160" w:type="dxa"/>
            </w:tcMar>
          </w:tcPr>
          <w:p>
            <w:pPr>
              <w:jc w:val="left"/>
            </w:pPr>
            <w:r>
              <w:rPr>
                <w:rFonts w:ascii="Calibri" w:hAnsi="Calibri"/>
                <w:color w:val="282C29"/>
                <w:sz w:val="18"/>
              </w:rPr>
              <w:t>Organic Intensive Kitchen Gardens</w:t>
            </w:r>
          </w:p>
        </w:tc>
        <w:tc>
          <w:tcPr>
            <w:tcW w:type="dxa" w:w="1296"/>
            <w:shd w:fill="FAF8F5"/>
            <w:tcMar>
              <w:top w:w="100" w:type="dxa"/>
              <w:bottom w:w="100" w:type="dxa"/>
              <w:left w:w="160" w:type="dxa"/>
              <w:right w:w="160" w:type="dxa"/>
            </w:tcMar>
          </w:tcPr>
          <w:p>
            <w:pPr>
              <w:jc w:val="left"/>
            </w:pPr>
            <w:r>
              <w:rPr>
                <w:rFonts w:ascii="Calibri" w:hAnsi="Calibri"/>
                <w:color w:val="282C29"/>
                <w:sz w:val="18"/>
              </w:rPr>
              <w:t>2.00 ha</w:t>
            </w:r>
          </w:p>
        </w:tc>
        <w:tc>
          <w:tcPr>
            <w:tcW w:type="dxa" w:w="1296"/>
            <w:shd w:fill="FAF8F5"/>
            <w:tcMar>
              <w:top w:w="100" w:type="dxa"/>
              <w:bottom w:w="100" w:type="dxa"/>
              <w:left w:w="160" w:type="dxa"/>
              <w:right w:w="160" w:type="dxa"/>
            </w:tcMar>
          </w:tcPr>
          <w:p>
            <w:pPr>
              <w:jc w:val="left"/>
            </w:pPr>
            <w:r>
              <w:rPr>
                <w:rFonts w:ascii="Calibri" w:hAnsi="Calibri"/>
                <w:color w:val="282C29"/>
                <w:sz w:val="18"/>
              </w:rPr>
              <w:t>1.00 ha</w:t>
            </w:r>
          </w:p>
        </w:tc>
        <w:tc>
          <w:tcPr>
            <w:tcW w:type="dxa" w:w="1296"/>
            <w:shd w:fill="FAF8F5"/>
            <w:tcMar>
              <w:top w:w="100" w:type="dxa"/>
              <w:bottom w:w="100" w:type="dxa"/>
              <w:left w:w="160" w:type="dxa"/>
              <w:right w:w="160" w:type="dxa"/>
            </w:tcMar>
          </w:tcPr>
          <w:p>
            <w:pPr>
              <w:jc w:val="left"/>
            </w:pPr>
            <w:r>
              <w:rPr>
                <w:rFonts w:ascii="Calibri" w:hAnsi="Calibri"/>
                <w:color w:val="282C29"/>
                <w:sz w:val="18"/>
              </w:rPr>
              <w:t>3.00 ha</w:t>
            </w:r>
          </w:p>
        </w:tc>
        <w:tc>
          <w:tcPr>
            <w:tcW w:type="dxa" w:w="3312"/>
            <w:shd w:fill="FAF8F5"/>
            <w:tcMar>
              <w:top w:w="100" w:type="dxa"/>
              <w:bottom w:w="100" w:type="dxa"/>
              <w:left w:w="160" w:type="dxa"/>
              <w:right w:w="160" w:type="dxa"/>
            </w:tcMar>
          </w:tcPr>
          <w:p>
            <w:pPr>
              <w:jc w:val="left"/>
            </w:pPr>
            <w:r>
              <w:rPr>
                <w:rFonts w:ascii="Calibri" w:hAnsi="Calibri"/>
                <w:color w:val="282C29"/>
                <w:sz w:val="18"/>
              </w:rPr>
              <w:t>Heirloom vegetables, culinary herbs, greenhouse, irrigation.</w:t>
            </w:r>
          </w:p>
        </w:tc>
      </w:tr>
      <w:tr>
        <w:tc>
          <w:tcPr>
            <w:tcW w:type="dxa" w:w="2880"/>
            <w:shd w:fill="FFFFFF"/>
            <w:tcMar>
              <w:top w:w="100" w:type="dxa"/>
              <w:bottom w:w="100" w:type="dxa"/>
              <w:left w:w="160" w:type="dxa"/>
              <w:right w:w="160" w:type="dxa"/>
            </w:tcMar>
          </w:tcPr>
          <w:p>
            <w:pPr>
              <w:jc w:val="left"/>
            </w:pPr>
            <w:r>
              <w:rPr>
                <w:rFonts w:ascii="Calibri" w:hAnsi="Calibri"/>
                <w:color w:val="282C29"/>
                <w:sz w:val="18"/>
              </w:rPr>
              <w:t>Agroforestry &amp; Productive Orchards</w:t>
            </w:r>
          </w:p>
        </w:tc>
        <w:tc>
          <w:tcPr>
            <w:tcW w:type="dxa" w:w="1296"/>
            <w:shd w:fill="FFFFFF"/>
            <w:tcMar>
              <w:top w:w="100" w:type="dxa"/>
              <w:bottom w:w="100" w:type="dxa"/>
              <w:left w:w="160" w:type="dxa"/>
              <w:right w:w="160" w:type="dxa"/>
            </w:tcMar>
          </w:tcPr>
          <w:p>
            <w:pPr>
              <w:jc w:val="left"/>
            </w:pPr>
            <w:r>
              <w:rPr>
                <w:rFonts w:ascii="Calibri" w:hAnsi="Calibri"/>
                <w:color w:val="282C29"/>
                <w:sz w:val="18"/>
              </w:rPr>
              <w:t>0.80 ha</w:t>
            </w:r>
          </w:p>
        </w:tc>
        <w:tc>
          <w:tcPr>
            <w:tcW w:type="dxa" w:w="1296"/>
            <w:shd w:fill="FFFFFF"/>
            <w:tcMar>
              <w:top w:w="100" w:type="dxa"/>
              <w:bottom w:w="100" w:type="dxa"/>
              <w:left w:w="160" w:type="dxa"/>
              <w:right w:w="160" w:type="dxa"/>
            </w:tcMar>
          </w:tcPr>
          <w:p>
            <w:pPr>
              <w:jc w:val="left"/>
            </w:pPr>
            <w:r>
              <w:rPr>
                <w:rFonts w:ascii="Calibri" w:hAnsi="Calibri"/>
                <w:color w:val="282C29"/>
                <w:sz w:val="18"/>
              </w:rPr>
              <w:t>1.50 ha</w:t>
            </w:r>
          </w:p>
        </w:tc>
        <w:tc>
          <w:tcPr>
            <w:tcW w:type="dxa" w:w="1296"/>
            <w:shd w:fill="FFFFFF"/>
            <w:tcMar>
              <w:top w:w="100" w:type="dxa"/>
              <w:bottom w:w="100" w:type="dxa"/>
              <w:left w:w="160" w:type="dxa"/>
              <w:right w:w="160" w:type="dxa"/>
            </w:tcMar>
          </w:tcPr>
          <w:p>
            <w:pPr>
              <w:jc w:val="left"/>
            </w:pPr>
            <w:r>
              <w:rPr>
                <w:rFonts w:ascii="Calibri" w:hAnsi="Calibri"/>
                <w:color w:val="282C29"/>
                <w:sz w:val="18"/>
              </w:rPr>
              <w:t>2.30 ha</w:t>
            </w:r>
          </w:p>
        </w:tc>
        <w:tc>
          <w:tcPr>
            <w:tcW w:type="dxa" w:w="3312"/>
            <w:shd w:fill="FFFFFF"/>
            <w:tcMar>
              <w:top w:w="100" w:type="dxa"/>
              <w:bottom w:w="100" w:type="dxa"/>
              <w:left w:w="160" w:type="dxa"/>
              <w:right w:w="160" w:type="dxa"/>
            </w:tcMar>
          </w:tcPr>
          <w:p>
            <w:pPr>
              <w:jc w:val="left"/>
            </w:pPr>
            <w:r>
              <w:rPr>
                <w:rFonts w:ascii="Calibri" w:hAnsi="Calibri"/>
                <w:color w:val="282C29"/>
                <w:sz w:val="18"/>
              </w:rPr>
              <w:t>Citrus, avocado, indigenous nut trees, guest walking paths.</w:t>
            </w:r>
          </w:p>
        </w:tc>
      </w:tr>
      <w:tr>
        <w:tc>
          <w:tcPr>
            <w:tcW w:type="dxa" w:w="2880"/>
            <w:shd w:fill="FAF8F5"/>
            <w:tcMar>
              <w:top w:w="100" w:type="dxa"/>
              <w:bottom w:w="100" w:type="dxa"/>
              <w:left w:w="160" w:type="dxa"/>
              <w:right w:w="160" w:type="dxa"/>
            </w:tcMar>
          </w:tcPr>
          <w:p>
            <w:pPr>
              <w:jc w:val="left"/>
            </w:pPr>
            <w:r>
              <w:rPr>
                <w:rFonts w:ascii="Calibri" w:hAnsi="Calibri"/>
                <w:color w:val="282C29"/>
                <w:sz w:val="18"/>
              </w:rPr>
              <w:t>Pastoral &amp; Animal Integration</w:t>
            </w:r>
          </w:p>
        </w:tc>
        <w:tc>
          <w:tcPr>
            <w:tcW w:type="dxa" w:w="1296"/>
            <w:shd w:fill="FAF8F5"/>
            <w:tcMar>
              <w:top w:w="100" w:type="dxa"/>
              <w:bottom w:w="100" w:type="dxa"/>
              <w:left w:w="160" w:type="dxa"/>
              <w:right w:w="160" w:type="dxa"/>
            </w:tcMar>
          </w:tcPr>
          <w:p>
            <w:pPr>
              <w:jc w:val="left"/>
            </w:pPr>
            <w:r>
              <w:rPr>
                <w:rFonts w:ascii="Calibri" w:hAnsi="Calibri"/>
                <w:color w:val="282C29"/>
                <w:sz w:val="18"/>
              </w:rPr>
              <w:t>0.80 ha</w:t>
            </w:r>
          </w:p>
        </w:tc>
        <w:tc>
          <w:tcPr>
            <w:tcW w:type="dxa" w:w="1296"/>
            <w:shd w:fill="FAF8F5"/>
            <w:tcMar>
              <w:top w:w="100" w:type="dxa"/>
              <w:bottom w:w="100" w:type="dxa"/>
              <w:left w:w="160" w:type="dxa"/>
              <w:right w:w="160" w:type="dxa"/>
            </w:tcMar>
          </w:tcPr>
          <w:p>
            <w:pPr>
              <w:jc w:val="left"/>
            </w:pPr>
            <w:r>
              <w:rPr>
                <w:rFonts w:ascii="Calibri" w:hAnsi="Calibri"/>
                <w:color w:val="282C29"/>
                <w:sz w:val="18"/>
              </w:rPr>
              <w:t>1.20 ha</w:t>
            </w:r>
          </w:p>
        </w:tc>
        <w:tc>
          <w:tcPr>
            <w:tcW w:type="dxa" w:w="1296"/>
            <w:shd w:fill="FAF8F5"/>
            <w:tcMar>
              <w:top w:w="100" w:type="dxa"/>
              <w:bottom w:w="100" w:type="dxa"/>
              <w:left w:w="160" w:type="dxa"/>
              <w:right w:w="160" w:type="dxa"/>
            </w:tcMar>
          </w:tcPr>
          <w:p>
            <w:pPr>
              <w:jc w:val="left"/>
            </w:pPr>
            <w:r>
              <w:rPr>
                <w:rFonts w:ascii="Calibri" w:hAnsi="Calibri"/>
                <w:color w:val="282C29"/>
                <w:sz w:val="18"/>
              </w:rPr>
              <w:t>2.00 ha</w:t>
            </w:r>
          </w:p>
        </w:tc>
        <w:tc>
          <w:tcPr>
            <w:tcW w:type="dxa" w:w="3312"/>
            <w:shd w:fill="FAF8F5"/>
            <w:tcMar>
              <w:top w:w="100" w:type="dxa"/>
              <w:bottom w:w="100" w:type="dxa"/>
              <w:left w:w="160" w:type="dxa"/>
              <w:right w:w="160" w:type="dxa"/>
            </w:tcMar>
          </w:tcPr>
          <w:p>
            <w:pPr>
              <w:jc w:val="left"/>
            </w:pPr>
            <w:r>
              <w:rPr>
                <w:rFonts w:ascii="Calibri" w:hAnsi="Calibri"/>
                <w:color w:val="282C29"/>
                <w:sz w:val="18"/>
              </w:rPr>
              <w:t>Rotational sheep paddocks, apiary, free-range poultry, dairy.</w:t>
            </w:r>
          </w:p>
        </w:tc>
      </w:tr>
      <w:tr>
        <w:tc>
          <w:tcPr>
            <w:tcW w:type="dxa" w:w="2880"/>
            <w:shd w:fill="FFFFFF"/>
            <w:tcMar>
              <w:top w:w="100" w:type="dxa"/>
              <w:bottom w:w="100" w:type="dxa"/>
              <w:left w:w="160" w:type="dxa"/>
              <w:right w:w="160" w:type="dxa"/>
            </w:tcMar>
          </w:tcPr>
          <w:p>
            <w:pPr>
              <w:jc w:val="left"/>
            </w:pPr>
            <w:r>
              <w:rPr>
                <w:rFonts w:ascii="Calibri" w:hAnsi="Calibri"/>
                <w:color w:val="282C29"/>
                <w:sz w:val="18"/>
              </w:rPr>
              <w:t>Arrival, BOH &amp; Farm Operations</w:t>
            </w:r>
          </w:p>
        </w:tc>
        <w:tc>
          <w:tcPr>
            <w:tcW w:type="dxa" w:w="1296"/>
            <w:shd w:fill="FFFFFF"/>
            <w:tcMar>
              <w:top w:w="100" w:type="dxa"/>
              <w:bottom w:w="100" w:type="dxa"/>
              <w:left w:w="160" w:type="dxa"/>
              <w:right w:w="160" w:type="dxa"/>
            </w:tcMar>
          </w:tcPr>
          <w:p>
            <w:pPr>
              <w:jc w:val="left"/>
            </w:pPr>
            <w:r>
              <w:rPr>
                <w:rFonts w:ascii="Calibri" w:hAnsi="Calibri"/>
                <w:color w:val="282C29"/>
                <w:sz w:val="18"/>
              </w:rPr>
              <w:t>0.70 ha</w:t>
            </w:r>
          </w:p>
        </w:tc>
        <w:tc>
          <w:tcPr>
            <w:tcW w:type="dxa" w:w="1296"/>
            <w:shd w:fill="FFFFFF"/>
            <w:tcMar>
              <w:top w:w="100" w:type="dxa"/>
              <w:bottom w:w="100" w:type="dxa"/>
              <w:left w:w="160" w:type="dxa"/>
              <w:right w:w="160" w:type="dxa"/>
            </w:tcMar>
          </w:tcPr>
          <w:p>
            <w:pPr>
              <w:jc w:val="left"/>
            </w:pPr>
            <w:r>
              <w:rPr>
                <w:rFonts w:ascii="Calibri" w:hAnsi="Calibri"/>
                <w:color w:val="282C29"/>
                <w:sz w:val="18"/>
              </w:rPr>
              <w:t>0.30 ha</w:t>
            </w:r>
          </w:p>
        </w:tc>
        <w:tc>
          <w:tcPr>
            <w:tcW w:type="dxa" w:w="1296"/>
            <w:shd w:fill="FFFFFF"/>
            <w:tcMar>
              <w:top w:w="100" w:type="dxa"/>
              <w:bottom w:w="100" w:type="dxa"/>
              <w:left w:w="160" w:type="dxa"/>
              <w:right w:w="160" w:type="dxa"/>
            </w:tcMar>
          </w:tcPr>
          <w:p>
            <w:pPr>
              <w:jc w:val="left"/>
            </w:pPr>
            <w:r>
              <w:rPr>
                <w:rFonts w:ascii="Calibri" w:hAnsi="Calibri"/>
                <w:color w:val="282C29"/>
                <w:sz w:val="18"/>
              </w:rPr>
              <w:t>1.00 ha</w:t>
            </w:r>
          </w:p>
        </w:tc>
        <w:tc>
          <w:tcPr>
            <w:tcW w:type="dxa" w:w="3312"/>
            <w:shd w:fill="FFFFFF"/>
            <w:tcMar>
              <w:top w:w="100" w:type="dxa"/>
              <w:bottom w:w="100" w:type="dxa"/>
              <w:left w:w="160" w:type="dxa"/>
              <w:right w:w="160" w:type="dxa"/>
            </w:tcMar>
          </w:tcPr>
          <w:p>
            <w:pPr>
              <w:jc w:val="left"/>
            </w:pPr>
            <w:r>
              <w:rPr>
                <w:rFonts w:ascii="Calibri" w:hAnsi="Calibri"/>
                <w:color w:val="282C29"/>
                <w:sz w:val="18"/>
              </w:rPr>
              <w:t>Staff quarters, security gatehouse, workshop, central stores.</w:t>
            </w:r>
          </w:p>
        </w:tc>
      </w:tr>
      <w:tr>
        <w:tc>
          <w:tcPr>
            <w:tcW w:type="dxa" w:w="2880"/>
            <w:shd w:fill="FAF8F5"/>
            <w:tcMar>
              <w:top w:w="100" w:type="dxa"/>
              <w:bottom w:w="100" w:type="dxa"/>
              <w:left w:w="160" w:type="dxa"/>
              <w:right w:w="160" w:type="dxa"/>
            </w:tcMar>
          </w:tcPr>
          <w:p>
            <w:pPr>
              <w:jc w:val="left"/>
            </w:pPr>
            <w:r>
              <w:rPr>
                <w:rFonts w:ascii="Calibri" w:hAnsi="Calibri"/>
                <w:color w:val="282C29"/>
                <w:sz w:val="18"/>
              </w:rPr>
              <w:t>Roads &amp; Low-Impact Circulation</w:t>
            </w:r>
          </w:p>
        </w:tc>
        <w:tc>
          <w:tcPr>
            <w:tcW w:type="dxa" w:w="1296"/>
            <w:shd w:fill="FAF8F5"/>
            <w:tcMar>
              <w:top w:w="100" w:type="dxa"/>
              <w:bottom w:w="100" w:type="dxa"/>
              <w:left w:w="160" w:type="dxa"/>
              <w:right w:w="160" w:type="dxa"/>
            </w:tcMar>
          </w:tcPr>
          <w:p>
            <w:pPr>
              <w:jc w:val="left"/>
            </w:pPr>
            <w:r>
              <w:rPr>
                <w:rFonts w:ascii="Calibri" w:hAnsi="Calibri"/>
                <w:color w:val="282C29"/>
                <w:sz w:val="18"/>
              </w:rPr>
              <w:t>0.70 ha</w:t>
            </w:r>
          </w:p>
        </w:tc>
        <w:tc>
          <w:tcPr>
            <w:tcW w:type="dxa" w:w="1296"/>
            <w:shd w:fill="FAF8F5"/>
            <w:tcMar>
              <w:top w:w="100" w:type="dxa"/>
              <w:bottom w:w="100" w:type="dxa"/>
              <w:left w:w="160" w:type="dxa"/>
              <w:right w:w="160" w:type="dxa"/>
            </w:tcMar>
          </w:tcPr>
          <w:p>
            <w:pPr>
              <w:jc w:val="left"/>
            </w:pPr>
            <w:r>
              <w:rPr>
                <w:rFonts w:ascii="Calibri" w:hAnsi="Calibri"/>
                <w:color w:val="282C29"/>
                <w:sz w:val="18"/>
              </w:rPr>
              <w:t>0.30 ha</w:t>
            </w:r>
          </w:p>
        </w:tc>
        <w:tc>
          <w:tcPr>
            <w:tcW w:type="dxa" w:w="1296"/>
            <w:shd w:fill="FAF8F5"/>
            <w:tcMar>
              <w:top w:w="100" w:type="dxa"/>
              <w:bottom w:w="100" w:type="dxa"/>
              <w:left w:w="160" w:type="dxa"/>
              <w:right w:w="160" w:type="dxa"/>
            </w:tcMar>
          </w:tcPr>
          <w:p>
            <w:pPr>
              <w:jc w:val="left"/>
            </w:pPr>
            <w:r>
              <w:rPr>
                <w:rFonts w:ascii="Calibri" w:hAnsi="Calibri"/>
                <w:color w:val="282C29"/>
                <w:sz w:val="18"/>
              </w:rPr>
              <w:t>1.00 ha</w:t>
            </w:r>
          </w:p>
        </w:tc>
        <w:tc>
          <w:tcPr>
            <w:tcW w:type="dxa" w:w="3312"/>
            <w:shd w:fill="FAF8F5"/>
            <w:tcMar>
              <w:top w:w="100" w:type="dxa"/>
              <w:bottom w:w="100" w:type="dxa"/>
              <w:left w:w="160" w:type="dxa"/>
              <w:right w:w="160" w:type="dxa"/>
            </w:tcMar>
          </w:tcPr>
          <w:p>
            <w:pPr>
              <w:jc w:val="left"/>
            </w:pPr>
            <w:r>
              <w:rPr>
                <w:rFonts w:ascii="Calibri" w:hAnsi="Calibri"/>
                <w:color w:val="282C29"/>
                <w:sz w:val="18"/>
              </w:rPr>
              <w:t>Permeable stabilized gravel roads, electric buggy tracks, paths.</w:t>
            </w:r>
          </w:p>
        </w:tc>
      </w:tr>
      <w:tr>
        <w:tc>
          <w:tcPr>
            <w:tcW w:type="dxa" w:w="2880"/>
            <w:shd w:fill="FFFFFF"/>
            <w:tcMar>
              <w:top w:w="100" w:type="dxa"/>
              <w:bottom w:w="100" w:type="dxa"/>
              <w:left w:w="160" w:type="dxa"/>
              <w:right w:w="160" w:type="dxa"/>
            </w:tcMar>
          </w:tcPr>
          <w:p>
            <w:pPr>
              <w:jc w:val="left"/>
            </w:pPr>
            <w:r>
              <w:rPr>
                <w:rFonts w:ascii="Calibri" w:hAnsi="Calibri"/>
                <w:color w:val="282C29"/>
                <w:sz w:val="18"/>
              </w:rPr>
              <w:t>Off-Grid Infrastructure &amp; Utilities</w:t>
            </w:r>
          </w:p>
        </w:tc>
        <w:tc>
          <w:tcPr>
            <w:tcW w:type="dxa" w:w="1296"/>
            <w:shd w:fill="FFFFFF"/>
            <w:tcMar>
              <w:top w:w="100" w:type="dxa"/>
              <w:bottom w:w="100" w:type="dxa"/>
              <w:left w:w="160" w:type="dxa"/>
              <w:right w:w="160" w:type="dxa"/>
            </w:tcMar>
          </w:tcPr>
          <w:p>
            <w:pPr>
              <w:jc w:val="left"/>
            </w:pPr>
            <w:r>
              <w:rPr>
                <w:rFonts w:ascii="Calibri" w:hAnsi="Calibri"/>
                <w:color w:val="282C29"/>
                <w:sz w:val="18"/>
              </w:rPr>
              <w:t>0.25 ha</w:t>
            </w:r>
          </w:p>
        </w:tc>
        <w:tc>
          <w:tcPr>
            <w:tcW w:type="dxa" w:w="1296"/>
            <w:shd w:fill="FFFFFF"/>
            <w:tcMar>
              <w:top w:w="100" w:type="dxa"/>
              <w:bottom w:w="100" w:type="dxa"/>
              <w:left w:w="160" w:type="dxa"/>
              <w:right w:w="160" w:type="dxa"/>
            </w:tcMar>
          </w:tcPr>
          <w:p>
            <w:pPr>
              <w:jc w:val="left"/>
            </w:pPr>
            <w:r>
              <w:rPr>
                <w:rFonts w:ascii="Calibri" w:hAnsi="Calibri"/>
                <w:color w:val="282C29"/>
                <w:sz w:val="18"/>
              </w:rPr>
              <w:t>0.15 ha</w:t>
            </w:r>
          </w:p>
        </w:tc>
        <w:tc>
          <w:tcPr>
            <w:tcW w:type="dxa" w:w="1296"/>
            <w:shd w:fill="FFFFFF"/>
            <w:tcMar>
              <w:top w:w="100" w:type="dxa"/>
              <w:bottom w:w="100" w:type="dxa"/>
              <w:left w:w="160" w:type="dxa"/>
              <w:right w:w="160" w:type="dxa"/>
            </w:tcMar>
          </w:tcPr>
          <w:p>
            <w:pPr>
              <w:jc w:val="left"/>
            </w:pPr>
            <w:r>
              <w:rPr>
                <w:rFonts w:ascii="Calibri" w:hAnsi="Calibri"/>
                <w:color w:val="282C29"/>
                <w:sz w:val="18"/>
              </w:rPr>
              <w:t>0.40 ha</w:t>
            </w:r>
          </w:p>
        </w:tc>
        <w:tc>
          <w:tcPr>
            <w:tcW w:type="dxa" w:w="3312"/>
            <w:shd w:fill="FFFFFF"/>
            <w:tcMar>
              <w:top w:w="100" w:type="dxa"/>
              <w:bottom w:w="100" w:type="dxa"/>
              <w:left w:w="160" w:type="dxa"/>
              <w:right w:w="160" w:type="dxa"/>
            </w:tcMar>
          </w:tcPr>
          <w:p>
            <w:pPr>
              <w:jc w:val="left"/>
            </w:pPr>
            <w:r>
              <w:rPr>
                <w:rFonts w:ascii="Calibri" w:hAnsi="Calibri"/>
                <w:color w:val="282C29"/>
                <w:sz w:val="18"/>
              </w:rPr>
              <w:t>Solar array (60 kWp), battery shed, water storage, reed-beds.</w:t>
            </w:r>
          </w:p>
        </w:tc>
      </w:tr>
      <w:tr>
        <w:tc>
          <w:tcPr>
            <w:tcW w:type="dxa" w:w="2880"/>
            <w:shd w:fill="FAF8F5"/>
            <w:tcMar>
              <w:top w:w="100" w:type="dxa"/>
              <w:bottom w:w="100" w:type="dxa"/>
              <w:left w:w="160" w:type="dxa"/>
              <w:right w:w="160" w:type="dxa"/>
            </w:tcMar>
          </w:tcPr>
          <w:p>
            <w:pPr>
              <w:jc w:val="left"/>
            </w:pPr>
            <w:r>
              <w:rPr>
                <w:rFonts w:ascii="Calibri" w:hAnsi="Calibri"/>
                <w:color w:val="282C29"/>
                <w:sz w:val="18"/>
              </w:rPr>
              <w:t>Conservation Buffer &amp; Nature Trails</w:t>
            </w:r>
          </w:p>
        </w:tc>
        <w:tc>
          <w:tcPr>
            <w:tcW w:type="dxa" w:w="1296"/>
            <w:shd w:fill="FAF8F5"/>
            <w:tcMar>
              <w:top w:w="100" w:type="dxa"/>
              <w:bottom w:w="100" w:type="dxa"/>
              <w:left w:w="160" w:type="dxa"/>
              <w:right w:w="160" w:type="dxa"/>
            </w:tcMar>
          </w:tcPr>
          <w:p>
            <w:pPr>
              <w:jc w:val="left"/>
            </w:pPr>
            <w:r>
              <w:rPr>
                <w:rFonts w:ascii="Calibri" w:hAnsi="Calibri"/>
                <w:color w:val="282C29"/>
                <w:sz w:val="18"/>
              </w:rPr>
              <w:t>1.55 ha</w:t>
            </w:r>
          </w:p>
        </w:tc>
        <w:tc>
          <w:tcPr>
            <w:tcW w:type="dxa" w:w="1296"/>
            <w:shd w:fill="FAF8F5"/>
            <w:tcMar>
              <w:top w:w="100" w:type="dxa"/>
              <w:bottom w:w="100" w:type="dxa"/>
              <w:left w:w="160" w:type="dxa"/>
              <w:right w:w="160" w:type="dxa"/>
            </w:tcMar>
          </w:tcPr>
          <w:p>
            <w:pPr>
              <w:jc w:val="left"/>
            </w:pPr>
            <w:r>
              <w:rPr>
                <w:rFonts w:ascii="Calibri" w:hAnsi="Calibri"/>
                <w:color w:val="282C29"/>
                <w:sz w:val="18"/>
              </w:rPr>
              <w:t>2.15 ha</w:t>
            </w:r>
          </w:p>
        </w:tc>
        <w:tc>
          <w:tcPr>
            <w:tcW w:type="dxa" w:w="1296"/>
            <w:shd w:fill="FAF8F5"/>
            <w:tcMar>
              <w:top w:w="100" w:type="dxa"/>
              <w:bottom w:w="100" w:type="dxa"/>
              <w:left w:w="160" w:type="dxa"/>
              <w:right w:w="160" w:type="dxa"/>
            </w:tcMar>
          </w:tcPr>
          <w:p>
            <w:pPr>
              <w:jc w:val="left"/>
            </w:pPr>
            <w:r>
              <w:rPr>
                <w:rFonts w:ascii="Calibri" w:hAnsi="Calibri"/>
                <w:color w:val="282C29"/>
                <w:sz w:val="18"/>
              </w:rPr>
              <w:t>3.70 ha</w:t>
            </w:r>
          </w:p>
        </w:tc>
        <w:tc>
          <w:tcPr>
            <w:tcW w:type="dxa" w:w="3312"/>
            <w:shd w:fill="FAF8F5"/>
            <w:tcMar>
              <w:top w:w="100" w:type="dxa"/>
              <w:bottom w:w="100" w:type="dxa"/>
              <w:left w:w="160" w:type="dxa"/>
              <w:right w:w="160" w:type="dxa"/>
            </w:tcMar>
          </w:tcPr>
          <w:p>
            <w:pPr>
              <w:jc w:val="left"/>
            </w:pPr>
            <w:r>
              <w:rPr>
                <w:rFonts w:ascii="Calibri" w:hAnsi="Calibri"/>
                <w:color w:val="282C29"/>
                <w:sz w:val="18"/>
              </w:rPr>
              <w:t>Indigenous acacia savannah, bird viewing hides, contemplation zones.</w:t>
            </w:r>
          </w:p>
        </w:tc>
      </w:tr>
      <w:tr>
        <w:tc>
          <w:tcPr>
            <w:tcW w:type="dxa" w:w="2880"/>
            <w:shd w:fill="FFFFFF"/>
            <w:tcMar>
              <w:top w:w="100" w:type="dxa"/>
              <w:bottom w:w="100" w:type="dxa"/>
              <w:left w:w="160" w:type="dxa"/>
              <w:right w:w="160" w:type="dxa"/>
            </w:tcMar>
          </w:tcPr>
          <w:p>
            <w:pPr>
              <w:jc w:val="left"/>
            </w:pPr>
            <w:r>
              <w:rPr>
                <w:rFonts w:ascii="Calibri" w:hAnsi="Calibri"/>
                <w:color w:val="282C29"/>
                <w:sz w:val="18"/>
              </w:rPr>
              <w:t>TOTAL DESTINATION FOOTPRINT</w:t>
            </w:r>
          </w:p>
        </w:tc>
        <w:tc>
          <w:tcPr>
            <w:tcW w:type="dxa" w:w="1296"/>
            <w:shd w:fill="FFFFFF"/>
            <w:tcMar>
              <w:top w:w="100" w:type="dxa"/>
              <w:bottom w:w="100" w:type="dxa"/>
              <w:left w:w="160" w:type="dxa"/>
              <w:right w:w="160" w:type="dxa"/>
            </w:tcMar>
          </w:tcPr>
          <w:p>
            <w:pPr>
              <w:jc w:val="left"/>
            </w:pPr>
            <w:r>
              <w:rPr>
                <w:rFonts w:ascii="Calibri" w:hAnsi="Calibri"/>
                <w:color w:val="282C29"/>
                <w:sz w:val="18"/>
              </w:rPr>
              <w:t>8.00 ha</w:t>
            </w:r>
          </w:p>
        </w:tc>
        <w:tc>
          <w:tcPr>
            <w:tcW w:type="dxa" w:w="1296"/>
            <w:shd w:fill="FFFFFF"/>
            <w:tcMar>
              <w:top w:w="100" w:type="dxa"/>
              <w:bottom w:w="100" w:type="dxa"/>
              <w:left w:w="160" w:type="dxa"/>
              <w:right w:w="160" w:type="dxa"/>
            </w:tcMar>
          </w:tcPr>
          <w:p>
            <w:pPr>
              <w:jc w:val="left"/>
            </w:pPr>
            <w:r>
              <w:rPr>
                <w:rFonts w:ascii="Calibri" w:hAnsi="Calibri"/>
                <w:color w:val="282C29"/>
                <w:sz w:val="18"/>
              </w:rPr>
              <w:t>7.00 ha</w:t>
            </w:r>
          </w:p>
        </w:tc>
        <w:tc>
          <w:tcPr>
            <w:tcW w:type="dxa" w:w="1296"/>
            <w:shd w:fill="FFFFFF"/>
            <w:tcMar>
              <w:top w:w="100" w:type="dxa"/>
              <w:bottom w:w="100" w:type="dxa"/>
              <w:left w:w="160" w:type="dxa"/>
              <w:right w:w="160" w:type="dxa"/>
            </w:tcMar>
          </w:tcPr>
          <w:p>
            <w:pPr>
              <w:jc w:val="left"/>
            </w:pPr>
            <w:r>
              <w:rPr>
                <w:rFonts w:ascii="Calibri" w:hAnsi="Calibri"/>
                <w:color w:val="282C29"/>
                <w:sz w:val="18"/>
              </w:rPr>
              <w:t>15.00 ha</w:t>
            </w:r>
          </w:p>
        </w:tc>
        <w:tc>
          <w:tcPr>
            <w:tcW w:type="dxa" w:w="3312"/>
            <w:shd w:fill="FFFFFF"/>
            <w:tcMar>
              <w:top w:w="100" w:type="dxa"/>
              <w:bottom w:w="100" w:type="dxa"/>
              <w:left w:w="160" w:type="dxa"/>
              <w:right w:w="160" w:type="dxa"/>
            </w:tcMar>
          </w:tcPr>
          <w:p>
            <w:pPr>
              <w:jc w:val="left"/>
            </w:pPr>
            <w:r>
              <w:rPr>
                <w:rFonts w:ascii="Calibri" w:hAnsi="Calibri"/>
                <w:color w:val="282C29"/>
                <w:sz w:val="18"/>
              </w:rPr>
              <w:t>Harmonious balance of hospitality, agriculture, and wild landscape.</w:t>
            </w:r>
          </w:p>
        </w:tc>
      </w:tr>
    </w:tbl>
    <w:p>
      <w:pPr>
        <w:spacing w:before="80" w:after="160"/>
      </w:pPr>
    </w:p>
    <w:p>
      <w:pPr>
        <w:keepNext/>
        <w:spacing w:before="320" w:after="120"/>
      </w:pPr>
      <w:r>
        <w:rPr>
          <w:rFonts w:ascii="Georgia" w:hAnsi="Georgia"/>
          <w:b/>
          <w:color w:val="19382D"/>
          <w:sz w:val="28"/>
        </w:rPr>
        <w:t>4. Architectural Concept &amp; Guest Experience</w:t>
      </w:r>
    </w:p>
    <w:p>
      <w:pPr>
        <w:spacing w:before="40" w:after="120" w:line="276" w:lineRule="auto"/>
      </w:pPr>
      <w:r>
        <w:rPr>
          <w:rFonts w:ascii="Calibri" w:hAnsi="Calibri"/>
          <w:color w:val="282C29"/>
          <w:sz w:val="20"/>
        </w:rPr>
        <w:t>The architectural direction embraces low-impact 'farmstead luxury' utilizing locally sourced stone, cedar, canvas accents, and thatch roofing. Guest accommodations comprise 12–15 free-standing pavilions positioned to maximize privacy, panoramic savannah views, and potential Mount Kenya sightlines.</w:t>
      </w:r>
    </w:p>
    <w:p>
      <w:pPr>
        <w:pStyle w:val="ListBullet"/>
        <w:spacing w:before="20" w:after="60" w:line="276" w:lineRule="auto"/>
      </w:pPr>
      <w:r>
        <w:rPr>
          <w:rFonts w:ascii="Calibri" w:hAnsi="Calibri"/>
          <w:b/>
          <w:color w:val="19382D"/>
          <w:sz w:val="20"/>
        </w:rPr>
        <w:t xml:space="preserve">Deluxe Savanna Suite (10 Units): </w:t>
      </w:r>
      <w:r>
        <w:rPr>
          <w:rFonts w:ascii="Calibri" w:hAnsi="Calibri"/>
          <w:color w:val="282C29"/>
          <w:sz w:val="20"/>
        </w:rPr>
        <w:t>75 sqm living area with king suite, indoor-outdoor stone shower, viewing deck, and solar-heated plunge pool.</w:t>
      </w:r>
    </w:p>
    <w:p>
      <w:pPr>
        <w:pStyle w:val="ListBullet"/>
        <w:spacing w:before="20" w:after="60" w:line="276" w:lineRule="auto"/>
      </w:pPr>
      <w:r>
        <w:rPr>
          <w:rFonts w:ascii="Calibri" w:hAnsi="Calibri"/>
          <w:b/>
          <w:color w:val="19382D"/>
          <w:sz w:val="20"/>
        </w:rPr>
        <w:t xml:space="preserve">Two-Bedroom Family Farm Villa (3–5 Units): </w:t>
      </w:r>
      <w:r>
        <w:rPr>
          <w:rFonts w:ascii="Calibri" w:hAnsi="Calibri"/>
          <w:color w:val="282C29"/>
          <w:sz w:val="20"/>
        </w:rPr>
        <w:t>125 sqm two-bedroom layout with shared central lounge, family dining terrace, and private garden compound.</w:t>
      </w:r>
    </w:p>
    <w:p>
      <w:pPr>
        <w:pStyle w:val="ListBullet"/>
        <w:spacing w:before="20" w:after="60" w:line="276" w:lineRule="auto"/>
      </w:pPr>
      <w:r>
        <w:rPr>
          <w:rFonts w:ascii="Calibri" w:hAnsi="Calibri"/>
          <w:b/>
          <w:color w:val="19382D"/>
          <w:sz w:val="20"/>
        </w:rPr>
        <w:t xml:space="preserve">Central Harvest Lodge &amp; Dining: </w:t>
      </w:r>
      <w:r>
        <w:rPr>
          <w:rFonts w:ascii="Calibri" w:hAnsi="Calibri"/>
          <w:color w:val="282C29"/>
          <w:sz w:val="20"/>
        </w:rPr>
        <w:t>Vaulted ceiling open-air restaurant, wine cellar featuring organic regional pairings, farm larder, library lounge, and panoramic fire pit.</w:t>
      </w:r>
    </w:p>
    <w:p>
      <w:pPr>
        <w:pStyle w:val="ListBullet"/>
        <w:spacing w:before="20" w:after="60" w:line="276" w:lineRule="auto"/>
      </w:pPr>
      <w:r>
        <w:rPr>
          <w:rFonts w:ascii="Calibri" w:hAnsi="Calibri"/>
          <w:b/>
          <w:color w:val="19382D"/>
          <w:sz w:val="20"/>
        </w:rPr>
        <w:t xml:space="preserve">Wellness Sanctuary &amp; Farm Spa: </w:t>
      </w:r>
      <w:r>
        <w:rPr>
          <w:rFonts w:ascii="Calibri" w:hAnsi="Calibri"/>
          <w:color w:val="282C29"/>
          <w:sz w:val="20"/>
        </w:rPr>
        <w:t>Heated lap pool surrounded by indigenous grasses, timber sun decks, cedar steam sauna, and treatment rooms overlooking the orchard.</w:t>
      </w:r>
    </w:p>
    <w:p>
      <w:pPr>
        <w:keepNext/>
        <w:spacing w:before="320" w:after="120"/>
      </w:pPr>
      <w:r>
        <w:rPr>
          <w:rFonts w:ascii="Georgia" w:hAnsi="Georgia"/>
          <w:b/>
          <w:color w:val="19382D"/>
          <w:sz w:val="28"/>
        </w:rPr>
        <w:t>5. Greener Ecosystem, Circular Utilities &amp; Productive Infrastructure ($980,000 / 40.8% of Capex)</w:t>
      </w:r>
    </w:p>
    <w:p>
      <w:pPr>
        <w:spacing w:before="40" w:after="120" w:line="276" w:lineRule="auto"/>
      </w:pPr>
      <w:r>
        <w:rPr>
          <w:rFonts w:ascii="Calibri" w:hAnsi="Calibri"/>
          <w:color w:val="282C29"/>
          <w:sz w:val="20"/>
        </w:rPr>
        <w:t>A central tenet of the Jonik Ndovu Farm development thesis is that environmental sustainability and commercial profitability are mutually reinforcing. Rather than treating utilities as high-overhead sunk costs, the project allocates US$980,000 — over 40% of the total US$2.4 million capital plan — into circular, productive infrastructure that eliminates diesel fuel costs, secures year-round water independence, regenerates Laikipia's soils, and creates high-margin culinary and retail revenue streams:</w:t>
      </w:r>
    </w:p>
    <w:p>
      <w:pPr>
        <w:pStyle w:val="ListBullet"/>
        <w:spacing w:before="20" w:after="60" w:line="276" w:lineRule="auto"/>
      </w:pPr>
      <w:r>
        <w:rPr>
          <w:rFonts w:ascii="Calibri" w:hAnsi="Calibri"/>
          <w:b/>
          <w:color w:val="19382D"/>
          <w:sz w:val="20"/>
        </w:rPr>
        <w:t xml:space="preserve">Solar-Hybrid Microgrid &amp; Storage: </w:t>
      </w:r>
      <w:r>
        <w:rPr>
          <w:rFonts w:ascii="Calibri" w:hAnsi="Calibri"/>
          <w:color w:val="282C29"/>
          <w:sz w:val="20"/>
        </w:rPr>
        <w:t>60 kWp ground-mounted solar PV array paired with 120 kWh lithium iron phosphate (LiFePO4) storage and a 30 kVA ultra-silent backup diesel generator, supplying 100% clean, silent power and cutting utility operating expenses by ~90% ($160,000 allocation).</w:t>
      </w:r>
    </w:p>
    <w:p>
      <w:pPr>
        <w:pStyle w:val="ListBullet"/>
        <w:spacing w:before="20" w:after="60" w:line="276" w:lineRule="auto"/>
      </w:pPr>
      <w:r>
        <w:rPr>
          <w:rFonts w:ascii="Calibri" w:hAnsi="Calibri"/>
          <w:b/>
          <w:color w:val="19382D"/>
          <w:sz w:val="20"/>
        </w:rPr>
        <w:t xml:space="preserve">Circular Biogas Waste-to-Energy: </w:t>
      </w:r>
      <w:r>
        <w:rPr>
          <w:rFonts w:ascii="Calibri" w:hAnsi="Calibri"/>
          <w:color w:val="282C29"/>
          <w:sz w:val="20"/>
        </w:rPr>
        <w:t>Commercial anaerobic biodigester converting livestock manure, kitchen organic scraps, and crop residues into pressurized cooking gas for the lodge kitchen and pathogen-free liquid bio-fertilizer for orchards ($80,000 allocation).</w:t>
      </w:r>
    </w:p>
    <w:p>
      <w:pPr>
        <w:pStyle w:val="ListBullet"/>
        <w:spacing w:before="20" w:after="60" w:line="276" w:lineRule="auto"/>
      </w:pPr>
      <w:r>
        <w:rPr>
          <w:rFonts w:ascii="Calibri" w:hAnsi="Calibri"/>
          <w:b/>
          <w:color w:val="19382D"/>
          <w:sz w:val="20"/>
        </w:rPr>
        <w:t xml:space="preserve">Hydrology &amp; Precision Drip Irrigation: </w:t>
      </w:r>
      <w:r>
        <w:rPr>
          <w:rFonts w:ascii="Calibri" w:hAnsi="Calibri"/>
          <w:color w:val="282C29"/>
          <w:sz w:val="20"/>
        </w:rPr>
        <w:t>Deep solar submersible borehole (10,000 L/hr yield), 200,000 liters of storage buffer (150kL raw, 50kL potable RO-filtered), 5.3 ha of automated pressure-compensating drip irrigation, and constructed reed-bed wetland greywater filtration ($240,000 allocation).</w:t>
      </w:r>
    </w:p>
    <w:p>
      <w:pPr>
        <w:pStyle w:val="ListBullet"/>
        <w:spacing w:before="20" w:after="60" w:line="276" w:lineRule="auto"/>
      </w:pPr>
      <w:r>
        <w:rPr>
          <w:rFonts w:ascii="Calibri" w:hAnsi="Calibri"/>
          <w:b/>
          <w:color w:val="19382D"/>
          <w:sz w:val="20"/>
        </w:rPr>
        <w:t xml:space="preserve">Farmland Landscaping &amp; Agroforestry: </w:t>
      </w:r>
      <w:r>
        <w:rPr>
          <w:rFonts w:ascii="Calibri" w:hAnsi="Calibri"/>
          <w:color w:val="282C29"/>
          <w:sz w:val="20"/>
        </w:rPr>
        <w:t>Keyline contour swales engineered along topography to catch surface runoff, vetiver grass soil retention, indigenous acacia shelterbelts, and multi-tier fruit orchards (citrus, avocado, macadamia) ($120,000 allocation).</w:t>
      </w:r>
    </w:p>
    <w:p>
      <w:pPr>
        <w:pStyle w:val="ListBullet"/>
        <w:spacing w:before="20" w:after="60" w:line="276" w:lineRule="auto"/>
      </w:pPr>
      <w:r>
        <w:rPr>
          <w:rFonts w:ascii="Calibri" w:hAnsi="Calibri"/>
          <w:b/>
          <w:color w:val="19382D"/>
          <w:sz w:val="20"/>
        </w:rPr>
        <w:t xml:space="preserve">Animal Structures &amp; Dairy Equipment: </w:t>
      </w:r>
      <w:r>
        <w:rPr>
          <w:rFonts w:ascii="Calibri" w:hAnsi="Calibri"/>
          <w:color w:val="282C29"/>
          <w:sz w:val="20"/>
        </w:rPr>
        <w:t>Sheltered rotational sheep paddocks for holistic pasture regeneration, ethical free-range poultry houses, solarized milking dairy hygiene parlor, and 40+ Langstroth apiary bee sanctuaries ($80,000 allocation).</w:t>
      </w:r>
    </w:p>
    <w:p>
      <w:pPr>
        <w:pStyle w:val="ListBullet"/>
        <w:spacing w:before="20" w:after="60" w:line="276" w:lineRule="auto"/>
      </w:pPr>
      <w:r>
        <w:rPr>
          <w:rFonts w:ascii="Calibri" w:hAnsi="Calibri"/>
          <w:b/>
          <w:color w:val="19382D"/>
          <w:sz w:val="20"/>
        </w:rPr>
        <w:t xml:space="preserve">Farm Machinery &amp; Clean Fleet: </w:t>
      </w:r>
      <w:r>
        <w:rPr>
          <w:rFonts w:ascii="Calibri" w:hAnsi="Calibri"/>
          <w:color w:val="282C29"/>
          <w:sz w:val="20"/>
        </w:rPr>
        <w:t>Compact low-impact agricultural tractors, sub-soilers, organic compost spreaders, solar charging infrastructure, and silent zero-emission electric utility buggies ($60,000 allocation).</w:t>
      </w:r>
    </w:p>
    <w:p>
      <w:pPr>
        <w:pStyle w:val="ListBullet"/>
        <w:spacing w:before="20" w:after="60" w:line="276" w:lineRule="auto"/>
      </w:pPr>
      <w:r>
        <w:rPr>
          <w:rFonts w:ascii="Calibri" w:hAnsi="Calibri"/>
          <w:b/>
          <w:color w:val="19382D"/>
          <w:sz w:val="20"/>
        </w:rPr>
        <w:t xml:space="preserve">Commercial Catering Hub &amp; Kitchen: </w:t>
      </w:r>
      <w:r>
        <w:rPr>
          <w:rFonts w:ascii="Calibri" w:hAnsi="Calibri"/>
          <w:color w:val="282C29"/>
          <w:sz w:val="20"/>
        </w:rPr>
        <w:t>HACCP-compliant commercial lodge kitchen, stone sourdough hearth bakery, solar-powered walk-in cold rooms, and charcuterie pantry supplying authentic farm-to-table dining ($160,000 allocation).</w:t>
      </w:r>
    </w:p>
    <w:p>
      <w:pPr>
        <w:pStyle w:val="ListBullet"/>
        <w:spacing w:before="20" w:after="60" w:line="276" w:lineRule="auto"/>
      </w:pPr>
      <w:r>
        <w:rPr>
          <w:rFonts w:ascii="Calibri" w:hAnsi="Calibri"/>
          <w:b/>
          <w:color w:val="19382D"/>
          <w:sz w:val="20"/>
        </w:rPr>
        <w:t xml:space="preserve">Farm Produce Sale Shop: </w:t>
      </w:r>
      <w:r>
        <w:rPr>
          <w:rFonts w:ascii="Calibri" w:hAnsi="Calibri"/>
          <w:color w:val="282C29"/>
          <w:sz w:val="20"/>
        </w:rPr>
        <w:t>On-site boutique retail market selling branded single-origin acacia honey, cold-pressed culinary oils, herbal infusions, fruit preserves, and custom organic gift baskets to guests and safari travelers at 65%+ gross margins ($80,000 allocation).</w:t>
      </w:r>
    </w:p>
    <w:p>
      <w:pPr>
        <w:keepNext/>
        <w:spacing w:before="240" w:after="80"/>
      </w:pPr>
      <w:r>
        <w:rPr>
          <w:rFonts w:ascii="Calibri" w:hAnsi="Calibri"/>
          <w:b/>
          <w:color w:val="282C29"/>
          <w:sz w:val="23"/>
        </w:rPr>
        <w:t>5.1 Reconciled US$2.4M Sources &amp; Uses Schedule</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456"/>
            <w:shd w:fill="19382D"/>
            <w:tcMar>
              <w:top w:w="140" w:type="dxa"/>
              <w:bottom w:w="140" w:type="dxa"/>
              <w:left w:w="180" w:type="dxa"/>
              <w:right w:w="180" w:type="dxa"/>
            </w:tcMar>
          </w:tcPr>
          <w:p>
            <w:pPr>
              <w:jc w:val="left"/>
            </w:pPr>
            <w:r>
              <w:rPr>
                <w:rFonts w:ascii="Calibri" w:hAnsi="Calibri"/>
                <w:b/>
                <w:color w:val="F7F4EC"/>
                <w:sz w:val="19"/>
              </w:rPr>
              <w:t>Expenditure Heading</w:t>
            </w:r>
          </w:p>
        </w:tc>
        <w:tc>
          <w:tcPr>
            <w:tcW w:type="dxa" w:w="1728"/>
            <w:shd w:fill="19382D"/>
            <w:tcMar>
              <w:top w:w="140" w:type="dxa"/>
              <w:bottom w:w="140" w:type="dxa"/>
              <w:left w:w="180" w:type="dxa"/>
              <w:right w:w="180" w:type="dxa"/>
            </w:tcMar>
          </w:tcPr>
          <w:p>
            <w:pPr>
              <w:jc w:val="left"/>
            </w:pPr>
            <w:r>
              <w:rPr>
                <w:rFonts w:ascii="Calibri" w:hAnsi="Calibri"/>
                <w:b/>
                <w:color w:val="F7F4EC"/>
                <w:sz w:val="19"/>
              </w:rPr>
              <w:t>Allocation (US$)</w:t>
            </w:r>
          </w:p>
        </w:tc>
        <w:tc>
          <w:tcPr>
            <w:tcW w:type="dxa" w:w="1152"/>
            <w:shd w:fill="19382D"/>
            <w:tcMar>
              <w:top w:w="140" w:type="dxa"/>
              <w:bottom w:w="140" w:type="dxa"/>
              <w:left w:w="180" w:type="dxa"/>
              <w:right w:w="180" w:type="dxa"/>
            </w:tcMar>
          </w:tcPr>
          <w:p>
            <w:pPr>
              <w:jc w:val="left"/>
            </w:pPr>
            <w:r>
              <w:rPr>
                <w:rFonts w:ascii="Calibri" w:hAnsi="Calibri"/>
                <w:b/>
                <w:color w:val="F7F4EC"/>
                <w:sz w:val="19"/>
              </w:rPr>
              <w:t>Share (%)</w:t>
            </w:r>
          </w:p>
        </w:tc>
        <w:tc>
          <w:tcPr>
            <w:tcW w:type="dxa" w:w="3456"/>
            <w:shd w:fill="19382D"/>
            <w:tcMar>
              <w:top w:w="140" w:type="dxa"/>
              <w:bottom w:w="140" w:type="dxa"/>
              <w:left w:w="180" w:type="dxa"/>
              <w:right w:w="180" w:type="dxa"/>
            </w:tcMar>
          </w:tcPr>
          <w:p>
            <w:pPr>
              <w:jc w:val="left"/>
            </w:pPr>
            <w:r>
              <w:rPr>
                <w:rFonts w:ascii="Calibri" w:hAnsi="Calibri"/>
                <w:b/>
                <w:color w:val="F7F4EC"/>
                <w:sz w:val="19"/>
              </w:rPr>
              <w:t>Scope &amp; Deliverables</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Land Acquisition &amp; Legal Transfer (~7 ha)</w:t>
            </w:r>
          </w:p>
        </w:tc>
        <w:tc>
          <w:tcPr>
            <w:tcW w:type="dxa" w:w="1728"/>
            <w:shd w:fill="FFFFFF"/>
            <w:tcMar>
              <w:top w:w="100" w:type="dxa"/>
              <w:bottom w:w="100" w:type="dxa"/>
              <w:left w:w="160" w:type="dxa"/>
              <w:right w:w="160" w:type="dxa"/>
            </w:tcMar>
          </w:tcPr>
          <w:p>
            <w:pPr>
              <w:jc w:val="left"/>
            </w:pPr>
            <w:r>
              <w:rPr>
                <w:rFonts w:ascii="Calibri" w:hAnsi="Calibri"/>
                <w:color w:val="282C29"/>
                <w:sz w:val="18"/>
              </w:rPr>
              <w:t>$320,000</w:t>
            </w:r>
          </w:p>
        </w:tc>
        <w:tc>
          <w:tcPr>
            <w:tcW w:type="dxa" w:w="1152"/>
            <w:shd w:fill="FFFFFF"/>
            <w:tcMar>
              <w:top w:w="100" w:type="dxa"/>
              <w:bottom w:w="100" w:type="dxa"/>
              <w:left w:w="160" w:type="dxa"/>
              <w:right w:w="160" w:type="dxa"/>
            </w:tcMar>
          </w:tcPr>
          <w:p>
            <w:pPr>
              <w:jc w:val="left"/>
            </w:pPr>
            <w:r>
              <w:rPr>
                <w:rFonts w:ascii="Calibri" w:hAnsi="Calibri"/>
                <w:color w:val="282C29"/>
                <w:sz w:val="18"/>
              </w:rPr>
              <w:t>13.3%</w:t>
            </w:r>
          </w:p>
        </w:tc>
        <w:tc>
          <w:tcPr>
            <w:tcW w:type="dxa" w:w="3456"/>
            <w:shd w:fill="FFFFFF"/>
            <w:tcMar>
              <w:top w:w="100" w:type="dxa"/>
              <w:bottom w:w="100" w:type="dxa"/>
              <w:left w:w="160" w:type="dxa"/>
              <w:right w:w="160" w:type="dxa"/>
            </w:tcMar>
          </w:tcPr>
          <w:p>
            <w:pPr>
              <w:jc w:val="left"/>
            </w:pPr>
            <w:r>
              <w:rPr>
                <w:rFonts w:ascii="Calibri" w:hAnsi="Calibri"/>
                <w:color w:val="282C29"/>
                <w:sz w:val="18"/>
              </w:rPr>
              <w:t>Adjacent parcel purchase, conveyancing, stamp duty, boundary surveys.</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Solar-Hybrid Microgrid &amp; Energy Storage</w:t>
            </w:r>
          </w:p>
        </w:tc>
        <w:tc>
          <w:tcPr>
            <w:tcW w:type="dxa" w:w="1728"/>
            <w:shd w:fill="FAF8F5"/>
            <w:tcMar>
              <w:top w:w="100" w:type="dxa"/>
              <w:bottom w:w="100" w:type="dxa"/>
              <w:left w:w="160" w:type="dxa"/>
              <w:right w:w="160" w:type="dxa"/>
            </w:tcMar>
          </w:tcPr>
          <w:p>
            <w:pPr>
              <w:jc w:val="left"/>
            </w:pPr>
            <w:r>
              <w:rPr>
                <w:rFonts w:ascii="Calibri" w:hAnsi="Calibri"/>
                <w:color w:val="282C29"/>
                <w:sz w:val="18"/>
              </w:rPr>
              <w:t>$160,000</w:t>
            </w:r>
          </w:p>
        </w:tc>
        <w:tc>
          <w:tcPr>
            <w:tcW w:type="dxa" w:w="1152"/>
            <w:shd w:fill="FAF8F5"/>
            <w:tcMar>
              <w:top w:w="100" w:type="dxa"/>
              <w:bottom w:w="100" w:type="dxa"/>
              <w:left w:w="160" w:type="dxa"/>
              <w:right w:w="160" w:type="dxa"/>
            </w:tcMar>
          </w:tcPr>
          <w:p>
            <w:pPr>
              <w:jc w:val="left"/>
            </w:pPr>
            <w:r>
              <w:rPr>
                <w:rFonts w:ascii="Calibri" w:hAnsi="Calibri"/>
                <w:color w:val="282C29"/>
                <w:sz w:val="18"/>
              </w:rPr>
              <w:t>6.7%</w:t>
            </w:r>
          </w:p>
        </w:tc>
        <w:tc>
          <w:tcPr>
            <w:tcW w:type="dxa" w:w="3456"/>
            <w:shd w:fill="FAF8F5"/>
            <w:tcMar>
              <w:top w:w="100" w:type="dxa"/>
              <w:bottom w:w="100" w:type="dxa"/>
              <w:left w:w="160" w:type="dxa"/>
              <w:right w:w="160" w:type="dxa"/>
            </w:tcMar>
          </w:tcPr>
          <w:p>
            <w:pPr>
              <w:jc w:val="left"/>
            </w:pPr>
            <w:r>
              <w:rPr>
                <w:rFonts w:ascii="Calibri" w:hAnsi="Calibri"/>
                <w:color w:val="282C29"/>
                <w:sz w:val="18"/>
              </w:rPr>
              <w:t>60 kWp solar PV array, 120 kWh LiFePO4 battery storage, smart inverters.</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Circular Biogas Plant &amp; Waste-to-Energy</w:t>
            </w:r>
          </w:p>
        </w:tc>
        <w:tc>
          <w:tcPr>
            <w:tcW w:type="dxa" w:w="1728"/>
            <w:shd w:fill="FFFFFF"/>
            <w:tcMar>
              <w:top w:w="100" w:type="dxa"/>
              <w:bottom w:w="100" w:type="dxa"/>
              <w:left w:w="160" w:type="dxa"/>
              <w:right w:w="160" w:type="dxa"/>
            </w:tcMar>
          </w:tcPr>
          <w:p>
            <w:pPr>
              <w:jc w:val="left"/>
            </w:pPr>
            <w:r>
              <w:rPr>
                <w:rFonts w:ascii="Calibri" w:hAnsi="Calibri"/>
                <w:color w:val="282C29"/>
                <w:sz w:val="18"/>
              </w:rPr>
              <w:t>$80,000</w:t>
            </w:r>
          </w:p>
        </w:tc>
        <w:tc>
          <w:tcPr>
            <w:tcW w:type="dxa" w:w="1152"/>
            <w:shd w:fill="FFFFFF"/>
            <w:tcMar>
              <w:top w:w="100" w:type="dxa"/>
              <w:bottom w:w="100" w:type="dxa"/>
              <w:left w:w="160" w:type="dxa"/>
              <w:right w:w="160" w:type="dxa"/>
            </w:tcMar>
          </w:tcPr>
          <w:p>
            <w:pPr>
              <w:jc w:val="left"/>
            </w:pPr>
            <w:r>
              <w:rPr>
                <w:rFonts w:ascii="Calibri" w:hAnsi="Calibri"/>
                <w:color w:val="282C29"/>
                <w:sz w:val="18"/>
              </w:rPr>
              <w:t>3.3%</w:t>
            </w:r>
          </w:p>
        </w:tc>
        <w:tc>
          <w:tcPr>
            <w:tcW w:type="dxa" w:w="3456"/>
            <w:shd w:fill="FFFFFF"/>
            <w:tcMar>
              <w:top w:w="100" w:type="dxa"/>
              <w:bottom w:w="100" w:type="dxa"/>
              <w:left w:w="160" w:type="dxa"/>
              <w:right w:w="160" w:type="dxa"/>
            </w:tcMar>
          </w:tcPr>
          <w:p>
            <w:pPr>
              <w:jc w:val="left"/>
            </w:pPr>
            <w:r>
              <w:rPr>
                <w:rFonts w:ascii="Calibri" w:hAnsi="Calibri"/>
                <w:color w:val="282C29"/>
                <w:sz w:val="18"/>
              </w:rPr>
              <w:t>Anaerobic biodigester converting manure &amp; kitchen waste to cooking gas &amp; bio-fertilizer.</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Hydrology, Solar Borehole &amp; Precision Drip</w:t>
            </w:r>
          </w:p>
        </w:tc>
        <w:tc>
          <w:tcPr>
            <w:tcW w:type="dxa" w:w="1728"/>
            <w:shd w:fill="FAF8F5"/>
            <w:tcMar>
              <w:top w:w="100" w:type="dxa"/>
              <w:bottom w:w="100" w:type="dxa"/>
              <w:left w:w="160" w:type="dxa"/>
              <w:right w:w="160" w:type="dxa"/>
            </w:tcMar>
          </w:tcPr>
          <w:p>
            <w:pPr>
              <w:jc w:val="left"/>
            </w:pPr>
            <w:r>
              <w:rPr>
                <w:rFonts w:ascii="Calibri" w:hAnsi="Calibri"/>
                <w:color w:val="282C29"/>
                <w:sz w:val="18"/>
              </w:rPr>
              <w:t>$240,000</w:t>
            </w:r>
          </w:p>
        </w:tc>
        <w:tc>
          <w:tcPr>
            <w:tcW w:type="dxa" w:w="1152"/>
            <w:shd w:fill="FAF8F5"/>
            <w:tcMar>
              <w:top w:w="100" w:type="dxa"/>
              <w:bottom w:w="100" w:type="dxa"/>
              <w:left w:w="160" w:type="dxa"/>
              <w:right w:w="160" w:type="dxa"/>
            </w:tcMar>
          </w:tcPr>
          <w:p>
            <w:pPr>
              <w:jc w:val="left"/>
            </w:pPr>
            <w:r>
              <w:rPr>
                <w:rFonts w:ascii="Calibri" w:hAnsi="Calibri"/>
                <w:color w:val="282C29"/>
                <w:sz w:val="18"/>
              </w:rPr>
              <w:t>10.0%</w:t>
            </w:r>
          </w:p>
        </w:tc>
        <w:tc>
          <w:tcPr>
            <w:tcW w:type="dxa" w:w="3456"/>
            <w:shd w:fill="FAF8F5"/>
            <w:tcMar>
              <w:top w:w="100" w:type="dxa"/>
              <w:bottom w:w="100" w:type="dxa"/>
              <w:left w:w="160" w:type="dxa"/>
              <w:right w:w="160" w:type="dxa"/>
            </w:tcMar>
          </w:tcPr>
          <w:p>
            <w:pPr>
              <w:jc w:val="left"/>
            </w:pPr>
            <w:r>
              <w:rPr>
                <w:rFonts w:ascii="Calibri" w:hAnsi="Calibri"/>
                <w:color w:val="282C29"/>
                <w:sz w:val="18"/>
              </w:rPr>
              <w:t>10k L/hr solar borehole, 200kL storage, 5.3 ha drip irrigation, reed-bed wetlands.</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Farmland Landscaping, Swales &amp; Agroforestry</w:t>
            </w:r>
          </w:p>
        </w:tc>
        <w:tc>
          <w:tcPr>
            <w:tcW w:type="dxa" w:w="1728"/>
            <w:shd w:fill="FFFFFF"/>
            <w:tcMar>
              <w:top w:w="100" w:type="dxa"/>
              <w:bottom w:w="100" w:type="dxa"/>
              <w:left w:w="160" w:type="dxa"/>
              <w:right w:w="160" w:type="dxa"/>
            </w:tcMar>
          </w:tcPr>
          <w:p>
            <w:pPr>
              <w:jc w:val="left"/>
            </w:pPr>
            <w:r>
              <w:rPr>
                <w:rFonts w:ascii="Calibri" w:hAnsi="Calibri"/>
                <w:color w:val="282C29"/>
                <w:sz w:val="18"/>
              </w:rPr>
              <w:t>$120,000</w:t>
            </w:r>
          </w:p>
        </w:tc>
        <w:tc>
          <w:tcPr>
            <w:tcW w:type="dxa" w:w="1152"/>
            <w:shd w:fill="FFFFFF"/>
            <w:tcMar>
              <w:top w:w="100" w:type="dxa"/>
              <w:bottom w:w="100" w:type="dxa"/>
              <w:left w:w="160" w:type="dxa"/>
              <w:right w:w="160" w:type="dxa"/>
            </w:tcMar>
          </w:tcPr>
          <w:p>
            <w:pPr>
              <w:jc w:val="left"/>
            </w:pPr>
            <w:r>
              <w:rPr>
                <w:rFonts w:ascii="Calibri" w:hAnsi="Calibri"/>
                <w:color w:val="282C29"/>
                <w:sz w:val="18"/>
              </w:rPr>
              <w:t>5.0%</w:t>
            </w:r>
          </w:p>
        </w:tc>
        <w:tc>
          <w:tcPr>
            <w:tcW w:type="dxa" w:w="3456"/>
            <w:shd w:fill="FFFFFF"/>
            <w:tcMar>
              <w:top w:w="100" w:type="dxa"/>
              <w:bottom w:w="100" w:type="dxa"/>
              <w:left w:w="160" w:type="dxa"/>
              <w:right w:w="160" w:type="dxa"/>
            </w:tcMar>
          </w:tcPr>
          <w:p>
            <w:pPr>
              <w:jc w:val="left"/>
            </w:pPr>
            <w:r>
              <w:rPr>
                <w:rFonts w:ascii="Calibri" w:hAnsi="Calibri"/>
                <w:color w:val="282C29"/>
                <w:sz w:val="18"/>
              </w:rPr>
              <w:t>Contour swales for moisture retention, acacia windbreaks, citrus &amp; avocado orchards.</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Animal Structures, Paddocks &amp; Dairy Equipment</w:t>
            </w:r>
          </w:p>
        </w:tc>
        <w:tc>
          <w:tcPr>
            <w:tcW w:type="dxa" w:w="1728"/>
            <w:shd w:fill="FAF8F5"/>
            <w:tcMar>
              <w:top w:w="100" w:type="dxa"/>
              <w:bottom w:w="100" w:type="dxa"/>
              <w:left w:w="160" w:type="dxa"/>
              <w:right w:w="160" w:type="dxa"/>
            </w:tcMar>
          </w:tcPr>
          <w:p>
            <w:pPr>
              <w:jc w:val="left"/>
            </w:pPr>
            <w:r>
              <w:rPr>
                <w:rFonts w:ascii="Calibri" w:hAnsi="Calibri"/>
                <w:color w:val="282C29"/>
                <w:sz w:val="18"/>
              </w:rPr>
              <w:t>$80,000</w:t>
            </w:r>
          </w:p>
        </w:tc>
        <w:tc>
          <w:tcPr>
            <w:tcW w:type="dxa" w:w="1152"/>
            <w:shd w:fill="FAF8F5"/>
            <w:tcMar>
              <w:top w:w="100" w:type="dxa"/>
              <w:bottom w:w="100" w:type="dxa"/>
              <w:left w:w="160" w:type="dxa"/>
              <w:right w:w="160" w:type="dxa"/>
            </w:tcMar>
          </w:tcPr>
          <w:p>
            <w:pPr>
              <w:jc w:val="left"/>
            </w:pPr>
            <w:r>
              <w:rPr>
                <w:rFonts w:ascii="Calibri" w:hAnsi="Calibri"/>
                <w:color w:val="282C29"/>
                <w:sz w:val="18"/>
              </w:rPr>
              <w:t>3.3%</w:t>
            </w:r>
          </w:p>
        </w:tc>
        <w:tc>
          <w:tcPr>
            <w:tcW w:type="dxa" w:w="3456"/>
            <w:shd w:fill="FAF8F5"/>
            <w:tcMar>
              <w:top w:w="100" w:type="dxa"/>
              <w:bottom w:w="100" w:type="dxa"/>
              <w:left w:w="160" w:type="dxa"/>
              <w:right w:w="160" w:type="dxa"/>
            </w:tcMar>
          </w:tcPr>
          <w:p>
            <w:pPr>
              <w:jc w:val="left"/>
            </w:pPr>
            <w:r>
              <w:rPr>
                <w:rFonts w:ascii="Calibri" w:hAnsi="Calibri"/>
                <w:color w:val="282C29"/>
                <w:sz w:val="18"/>
              </w:rPr>
              <w:t>Rotational sheep paddocks, poultry housing, solarized milking dairy unit, 40+ apiary hives.</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Farm Machinery &amp; Clean Electric Fleet</w:t>
            </w:r>
          </w:p>
        </w:tc>
        <w:tc>
          <w:tcPr>
            <w:tcW w:type="dxa" w:w="1728"/>
            <w:shd w:fill="FFFFFF"/>
            <w:tcMar>
              <w:top w:w="100" w:type="dxa"/>
              <w:bottom w:w="100" w:type="dxa"/>
              <w:left w:w="160" w:type="dxa"/>
              <w:right w:w="160" w:type="dxa"/>
            </w:tcMar>
          </w:tcPr>
          <w:p>
            <w:pPr>
              <w:jc w:val="left"/>
            </w:pPr>
            <w:r>
              <w:rPr>
                <w:rFonts w:ascii="Calibri" w:hAnsi="Calibri"/>
                <w:color w:val="282C29"/>
                <w:sz w:val="18"/>
              </w:rPr>
              <w:t>$60,000</w:t>
            </w:r>
          </w:p>
        </w:tc>
        <w:tc>
          <w:tcPr>
            <w:tcW w:type="dxa" w:w="1152"/>
            <w:shd w:fill="FFFFFF"/>
            <w:tcMar>
              <w:top w:w="100" w:type="dxa"/>
              <w:bottom w:w="100" w:type="dxa"/>
              <w:left w:w="160" w:type="dxa"/>
              <w:right w:w="160" w:type="dxa"/>
            </w:tcMar>
          </w:tcPr>
          <w:p>
            <w:pPr>
              <w:jc w:val="left"/>
            </w:pPr>
            <w:r>
              <w:rPr>
                <w:rFonts w:ascii="Calibri" w:hAnsi="Calibri"/>
                <w:color w:val="282C29"/>
                <w:sz w:val="18"/>
              </w:rPr>
              <w:t>2.5%</w:t>
            </w:r>
          </w:p>
        </w:tc>
        <w:tc>
          <w:tcPr>
            <w:tcW w:type="dxa" w:w="3456"/>
            <w:shd w:fill="FFFFFF"/>
            <w:tcMar>
              <w:top w:w="100" w:type="dxa"/>
              <w:bottom w:w="100" w:type="dxa"/>
              <w:left w:w="160" w:type="dxa"/>
              <w:right w:w="160" w:type="dxa"/>
            </w:tcMar>
          </w:tcPr>
          <w:p>
            <w:pPr>
              <w:jc w:val="left"/>
            </w:pPr>
            <w:r>
              <w:rPr>
                <w:rFonts w:ascii="Calibri" w:hAnsi="Calibri"/>
                <w:color w:val="282C29"/>
                <w:sz w:val="18"/>
              </w:rPr>
              <w:t>Compact tractors, compost spreaders, solar charging bays, EV utility buggies.</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Boutique Guest Pavilions (12–15 Units)</w:t>
            </w:r>
          </w:p>
        </w:tc>
        <w:tc>
          <w:tcPr>
            <w:tcW w:type="dxa" w:w="1728"/>
            <w:shd w:fill="FAF8F5"/>
            <w:tcMar>
              <w:top w:w="100" w:type="dxa"/>
              <w:bottom w:w="100" w:type="dxa"/>
              <w:left w:w="160" w:type="dxa"/>
              <w:right w:w="160" w:type="dxa"/>
            </w:tcMar>
          </w:tcPr>
          <w:p>
            <w:pPr>
              <w:jc w:val="left"/>
            </w:pPr>
            <w:r>
              <w:rPr>
                <w:rFonts w:ascii="Calibri" w:hAnsi="Calibri"/>
                <w:color w:val="282C29"/>
                <w:sz w:val="18"/>
              </w:rPr>
              <w:t>$720,000</w:t>
            </w:r>
          </w:p>
        </w:tc>
        <w:tc>
          <w:tcPr>
            <w:tcW w:type="dxa" w:w="1152"/>
            <w:shd w:fill="FAF8F5"/>
            <w:tcMar>
              <w:top w:w="100" w:type="dxa"/>
              <w:bottom w:w="100" w:type="dxa"/>
              <w:left w:w="160" w:type="dxa"/>
              <w:right w:w="160" w:type="dxa"/>
            </w:tcMar>
          </w:tcPr>
          <w:p>
            <w:pPr>
              <w:jc w:val="left"/>
            </w:pPr>
            <w:r>
              <w:rPr>
                <w:rFonts w:ascii="Calibri" w:hAnsi="Calibri"/>
                <w:color w:val="282C29"/>
                <w:sz w:val="18"/>
              </w:rPr>
              <w:t>30.0%</w:t>
            </w:r>
          </w:p>
        </w:tc>
        <w:tc>
          <w:tcPr>
            <w:tcW w:type="dxa" w:w="3456"/>
            <w:shd w:fill="FAF8F5"/>
            <w:tcMar>
              <w:top w:w="100" w:type="dxa"/>
              <w:bottom w:w="100" w:type="dxa"/>
              <w:left w:w="160" w:type="dxa"/>
              <w:right w:w="160" w:type="dxa"/>
            </w:tcMar>
          </w:tcPr>
          <w:p>
            <w:pPr>
              <w:jc w:val="left"/>
            </w:pPr>
            <w:r>
              <w:rPr>
                <w:rFonts w:ascii="Calibri" w:hAnsi="Calibri"/>
                <w:color w:val="282C29"/>
                <w:sz w:val="18"/>
              </w:rPr>
              <w:t>10 deluxe suites (75 sqm), 3 family villas (125 sqm), reception lounge, wellness deck.</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Commercial Catering Kitchen &amp; Farm Produce Shop</w:t>
            </w:r>
          </w:p>
        </w:tc>
        <w:tc>
          <w:tcPr>
            <w:tcW w:type="dxa" w:w="1728"/>
            <w:shd w:fill="FFFFFF"/>
            <w:tcMar>
              <w:top w:w="100" w:type="dxa"/>
              <w:bottom w:w="100" w:type="dxa"/>
              <w:left w:w="160" w:type="dxa"/>
              <w:right w:w="160" w:type="dxa"/>
            </w:tcMar>
          </w:tcPr>
          <w:p>
            <w:pPr>
              <w:jc w:val="left"/>
            </w:pPr>
            <w:r>
              <w:rPr>
                <w:rFonts w:ascii="Calibri" w:hAnsi="Calibri"/>
                <w:color w:val="282C29"/>
                <w:sz w:val="18"/>
              </w:rPr>
              <w:t>$240,000</w:t>
            </w:r>
          </w:p>
        </w:tc>
        <w:tc>
          <w:tcPr>
            <w:tcW w:type="dxa" w:w="1152"/>
            <w:shd w:fill="FFFFFF"/>
            <w:tcMar>
              <w:top w:w="100" w:type="dxa"/>
              <w:bottom w:w="100" w:type="dxa"/>
              <w:left w:w="160" w:type="dxa"/>
              <w:right w:w="160" w:type="dxa"/>
            </w:tcMar>
          </w:tcPr>
          <w:p>
            <w:pPr>
              <w:jc w:val="left"/>
            </w:pPr>
            <w:r>
              <w:rPr>
                <w:rFonts w:ascii="Calibri" w:hAnsi="Calibri"/>
                <w:color w:val="282C29"/>
                <w:sz w:val="18"/>
              </w:rPr>
              <w:t>10.0%</w:t>
            </w:r>
          </w:p>
        </w:tc>
        <w:tc>
          <w:tcPr>
            <w:tcW w:type="dxa" w:w="3456"/>
            <w:shd w:fill="FFFFFF"/>
            <w:tcMar>
              <w:top w:w="100" w:type="dxa"/>
              <w:bottom w:w="100" w:type="dxa"/>
              <w:left w:w="160" w:type="dxa"/>
              <w:right w:w="160" w:type="dxa"/>
            </w:tcMar>
          </w:tcPr>
          <w:p>
            <w:pPr>
              <w:jc w:val="left"/>
            </w:pPr>
            <w:r>
              <w:rPr>
                <w:rFonts w:ascii="Calibri" w:hAnsi="Calibri"/>
                <w:color w:val="282C29"/>
                <w:sz w:val="18"/>
              </w:rPr>
              <w:t>Commercial lodge kitchen, sourdough bakery, cold rooms, and on-site retail boutique shop.</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FF&amp;E, OS&amp;E &amp; Converted Safari Vehicles</w:t>
            </w:r>
          </w:p>
        </w:tc>
        <w:tc>
          <w:tcPr>
            <w:tcW w:type="dxa" w:w="1728"/>
            <w:shd w:fill="FAF8F5"/>
            <w:tcMar>
              <w:top w:w="100" w:type="dxa"/>
              <w:bottom w:w="100" w:type="dxa"/>
              <w:left w:w="160" w:type="dxa"/>
              <w:right w:w="160" w:type="dxa"/>
            </w:tcMar>
          </w:tcPr>
          <w:p>
            <w:pPr>
              <w:jc w:val="left"/>
            </w:pPr>
            <w:r>
              <w:rPr>
                <w:rFonts w:ascii="Calibri" w:hAnsi="Calibri"/>
                <w:color w:val="282C29"/>
                <w:sz w:val="18"/>
              </w:rPr>
              <w:t>$140,000</w:t>
            </w:r>
          </w:p>
        </w:tc>
        <w:tc>
          <w:tcPr>
            <w:tcW w:type="dxa" w:w="1152"/>
            <w:shd w:fill="FAF8F5"/>
            <w:tcMar>
              <w:top w:w="100" w:type="dxa"/>
              <w:bottom w:w="100" w:type="dxa"/>
              <w:left w:w="160" w:type="dxa"/>
              <w:right w:w="160" w:type="dxa"/>
            </w:tcMar>
          </w:tcPr>
          <w:p>
            <w:pPr>
              <w:jc w:val="left"/>
            </w:pPr>
            <w:r>
              <w:rPr>
                <w:rFonts w:ascii="Calibri" w:hAnsi="Calibri"/>
                <w:color w:val="282C29"/>
                <w:sz w:val="18"/>
              </w:rPr>
              <w:t>5.8%</w:t>
            </w:r>
          </w:p>
        </w:tc>
        <w:tc>
          <w:tcPr>
            <w:tcW w:type="dxa" w:w="3456"/>
            <w:shd w:fill="FAF8F5"/>
            <w:tcMar>
              <w:top w:w="100" w:type="dxa"/>
              <w:bottom w:w="100" w:type="dxa"/>
              <w:left w:w="160" w:type="dxa"/>
              <w:right w:w="160" w:type="dxa"/>
            </w:tcMar>
          </w:tcPr>
          <w:p>
            <w:pPr>
              <w:jc w:val="left"/>
            </w:pPr>
            <w:r>
              <w:rPr>
                <w:rFonts w:ascii="Calibri" w:hAnsi="Calibri"/>
                <w:color w:val="282C29"/>
                <w:sz w:val="18"/>
              </w:rPr>
              <w:t>Artisan stone/cedar furnishings, bespoke linens, 1 converted silent game viewing vehicle.</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Professional Fees, NEMA &amp; Permitting</w:t>
            </w:r>
          </w:p>
        </w:tc>
        <w:tc>
          <w:tcPr>
            <w:tcW w:type="dxa" w:w="1728"/>
            <w:shd w:fill="FFFFFF"/>
            <w:tcMar>
              <w:top w:w="100" w:type="dxa"/>
              <w:bottom w:w="100" w:type="dxa"/>
              <w:left w:w="160" w:type="dxa"/>
              <w:right w:w="160" w:type="dxa"/>
            </w:tcMar>
          </w:tcPr>
          <w:p>
            <w:pPr>
              <w:jc w:val="left"/>
            </w:pPr>
            <w:r>
              <w:rPr>
                <w:rFonts w:ascii="Calibri" w:hAnsi="Calibri"/>
                <w:color w:val="282C29"/>
                <w:sz w:val="18"/>
              </w:rPr>
              <w:t>$120,000</w:t>
            </w:r>
          </w:p>
        </w:tc>
        <w:tc>
          <w:tcPr>
            <w:tcW w:type="dxa" w:w="1152"/>
            <w:shd w:fill="FFFFFF"/>
            <w:tcMar>
              <w:top w:w="100" w:type="dxa"/>
              <w:bottom w:w="100" w:type="dxa"/>
              <w:left w:w="160" w:type="dxa"/>
              <w:right w:w="160" w:type="dxa"/>
            </w:tcMar>
          </w:tcPr>
          <w:p>
            <w:pPr>
              <w:jc w:val="left"/>
            </w:pPr>
            <w:r>
              <w:rPr>
                <w:rFonts w:ascii="Calibri" w:hAnsi="Calibri"/>
                <w:color w:val="282C29"/>
                <w:sz w:val="18"/>
              </w:rPr>
              <w:t>5.0%</w:t>
            </w:r>
          </w:p>
        </w:tc>
        <w:tc>
          <w:tcPr>
            <w:tcW w:type="dxa" w:w="3456"/>
            <w:shd w:fill="FFFFFF"/>
            <w:tcMar>
              <w:top w:w="100" w:type="dxa"/>
              <w:bottom w:w="100" w:type="dxa"/>
              <w:left w:w="160" w:type="dxa"/>
              <w:right w:w="160" w:type="dxa"/>
            </w:tcMar>
          </w:tcPr>
          <w:p>
            <w:pPr>
              <w:jc w:val="left"/>
            </w:pPr>
            <w:r>
              <w:rPr>
                <w:rFonts w:ascii="Calibri" w:hAnsi="Calibri"/>
                <w:color w:val="282C29"/>
                <w:sz w:val="18"/>
              </w:rPr>
              <w:t>Architectural/MEP engineering, NEMA ESIA license, county change-of-user.</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Pre-Opening Working Capital &amp; Contingency</w:t>
            </w:r>
          </w:p>
        </w:tc>
        <w:tc>
          <w:tcPr>
            <w:tcW w:type="dxa" w:w="1728"/>
            <w:shd w:fill="FAF8F5"/>
            <w:tcMar>
              <w:top w:w="100" w:type="dxa"/>
              <w:bottom w:w="100" w:type="dxa"/>
              <w:left w:w="160" w:type="dxa"/>
              <w:right w:w="160" w:type="dxa"/>
            </w:tcMar>
          </w:tcPr>
          <w:p>
            <w:pPr>
              <w:jc w:val="left"/>
            </w:pPr>
            <w:r>
              <w:rPr>
                <w:rFonts w:ascii="Calibri" w:hAnsi="Calibri"/>
                <w:color w:val="282C29"/>
                <w:sz w:val="18"/>
              </w:rPr>
              <w:t>$120,000</w:t>
            </w:r>
          </w:p>
        </w:tc>
        <w:tc>
          <w:tcPr>
            <w:tcW w:type="dxa" w:w="1152"/>
            <w:shd w:fill="FAF8F5"/>
            <w:tcMar>
              <w:top w:w="100" w:type="dxa"/>
              <w:bottom w:w="100" w:type="dxa"/>
              <w:left w:w="160" w:type="dxa"/>
              <w:right w:w="160" w:type="dxa"/>
            </w:tcMar>
          </w:tcPr>
          <w:p>
            <w:pPr>
              <w:jc w:val="left"/>
            </w:pPr>
            <w:r>
              <w:rPr>
                <w:rFonts w:ascii="Calibri" w:hAnsi="Calibri"/>
                <w:color w:val="282C29"/>
                <w:sz w:val="18"/>
              </w:rPr>
              <w:t>5.0%</w:t>
            </w:r>
          </w:p>
        </w:tc>
        <w:tc>
          <w:tcPr>
            <w:tcW w:type="dxa" w:w="3456"/>
            <w:shd w:fill="FAF8F5"/>
            <w:tcMar>
              <w:top w:w="100" w:type="dxa"/>
              <w:bottom w:w="100" w:type="dxa"/>
              <w:left w:w="160" w:type="dxa"/>
              <w:right w:w="160" w:type="dxa"/>
            </w:tcMar>
          </w:tcPr>
          <w:p>
            <w:pPr>
              <w:jc w:val="left"/>
            </w:pPr>
            <w:r>
              <w:rPr>
                <w:rFonts w:ascii="Calibri" w:hAnsi="Calibri"/>
                <w:color w:val="282C29"/>
                <w:sz w:val="18"/>
              </w:rPr>
              <w:t>Hospitality/farm staff recruitment, brand launch runway, ring-fenced contingency buffer.</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TOTAL US$ CAPITAL REQUIREMENT</w:t>
            </w:r>
          </w:p>
        </w:tc>
        <w:tc>
          <w:tcPr>
            <w:tcW w:type="dxa" w:w="1728"/>
            <w:shd w:fill="FFFFFF"/>
            <w:tcMar>
              <w:top w:w="100" w:type="dxa"/>
              <w:bottom w:w="100" w:type="dxa"/>
              <w:left w:w="160" w:type="dxa"/>
              <w:right w:w="160" w:type="dxa"/>
            </w:tcMar>
          </w:tcPr>
          <w:p>
            <w:pPr>
              <w:jc w:val="left"/>
            </w:pPr>
            <w:r>
              <w:rPr>
                <w:rFonts w:ascii="Calibri" w:hAnsi="Calibri"/>
                <w:color w:val="282C29"/>
                <w:sz w:val="18"/>
              </w:rPr>
              <w:t>$2,400,000</w:t>
            </w:r>
          </w:p>
        </w:tc>
        <w:tc>
          <w:tcPr>
            <w:tcW w:type="dxa" w:w="1152"/>
            <w:shd w:fill="FFFFFF"/>
            <w:tcMar>
              <w:top w:w="100" w:type="dxa"/>
              <w:bottom w:w="100" w:type="dxa"/>
              <w:left w:w="160" w:type="dxa"/>
              <w:right w:w="160" w:type="dxa"/>
            </w:tcMar>
          </w:tcPr>
          <w:p>
            <w:pPr>
              <w:jc w:val="left"/>
            </w:pPr>
            <w:r>
              <w:rPr>
                <w:rFonts w:ascii="Calibri" w:hAnsi="Calibri"/>
                <w:color w:val="282C29"/>
                <w:sz w:val="18"/>
              </w:rPr>
              <w:t>100.0%</w:t>
            </w:r>
          </w:p>
        </w:tc>
        <w:tc>
          <w:tcPr>
            <w:tcW w:type="dxa" w:w="3456"/>
            <w:shd w:fill="FFFFFF"/>
            <w:tcMar>
              <w:top w:w="100" w:type="dxa"/>
              <w:bottom w:w="100" w:type="dxa"/>
              <w:left w:w="160" w:type="dxa"/>
              <w:right w:w="160" w:type="dxa"/>
            </w:tcMar>
          </w:tcPr>
          <w:p>
            <w:pPr>
              <w:jc w:val="left"/>
            </w:pPr>
            <w:r>
              <w:rPr>
                <w:rFonts w:ascii="Calibri" w:hAnsi="Calibri"/>
                <w:color w:val="282C29"/>
                <w:sz w:val="18"/>
              </w:rPr>
              <w:t>Complete turnkey capitalization to commercial opening.</w:t>
            </w:r>
          </w:p>
        </w:tc>
      </w:tr>
    </w:tbl>
    <w:p>
      <w:pPr>
        <w:spacing w:before="80" w:after="160"/>
      </w:pPr>
    </w:p>
    <w:p>
      <w:pPr>
        <w:keepNext/>
        <w:spacing w:before="320" w:after="120"/>
      </w:pPr>
      <w:r>
        <w:rPr>
          <w:rFonts w:ascii="Georgia" w:hAnsi="Georgia"/>
          <w:b/>
          <w:color w:val="19382D"/>
          <w:sz w:val="28"/>
        </w:rPr>
        <w:t>6. Financial Architecture &amp; 10-Year Pro-Forma</w:t>
      </w:r>
    </w:p>
    <w:p>
      <w:pPr>
        <w:spacing w:before="40" w:after="120" w:line="276" w:lineRule="auto"/>
      </w:pPr>
      <w:r>
        <w:rPr>
          <w:rFonts w:ascii="Calibri" w:hAnsi="Calibri"/>
          <w:color w:val="282C29"/>
          <w:sz w:val="20"/>
        </w:rPr>
        <w:t>The financial model establishes a robust, institutional return profile based on conservative occupancy benchmarks and disciplined cost management:</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3456"/>
            <w:shd w:fill="19382D"/>
            <w:tcMar>
              <w:top w:w="140" w:type="dxa"/>
              <w:bottom w:w="140" w:type="dxa"/>
              <w:left w:w="180" w:type="dxa"/>
              <w:right w:w="180" w:type="dxa"/>
            </w:tcMar>
          </w:tcPr>
          <w:p>
            <w:pPr>
              <w:jc w:val="left"/>
            </w:pPr>
            <w:r>
              <w:rPr>
                <w:rFonts w:ascii="Calibri" w:hAnsi="Calibri"/>
                <w:b/>
                <w:color w:val="F7F4EC"/>
                <w:sz w:val="19"/>
              </w:rPr>
              <w:t>Pro-Forma Metric</w:t>
            </w:r>
          </w:p>
        </w:tc>
        <w:tc>
          <w:tcPr>
            <w:tcW w:type="dxa" w:w="1584"/>
            <w:shd w:fill="19382D"/>
            <w:tcMar>
              <w:top w:w="140" w:type="dxa"/>
              <w:bottom w:w="140" w:type="dxa"/>
              <w:left w:w="180" w:type="dxa"/>
              <w:right w:w="180" w:type="dxa"/>
            </w:tcMar>
          </w:tcPr>
          <w:p>
            <w:pPr>
              <w:jc w:val="left"/>
            </w:pPr>
            <w:r>
              <w:rPr>
                <w:rFonts w:ascii="Calibri" w:hAnsi="Calibri"/>
                <w:b/>
                <w:color w:val="F7F4EC"/>
                <w:sz w:val="19"/>
              </w:rPr>
              <w:t>Year 3 (Launch)</w:t>
            </w:r>
          </w:p>
        </w:tc>
        <w:tc>
          <w:tcPr>
            <w:tcW w:type="dxa" w:w="1584"/>
            <w:shd w:fill="19382D"/>
            <w:tcMar>
              <w:top w:w="140" w:type="dxa"/>
              <w:bottom w:w="140" w:type="dxa"/>
              <w:left w:w="180" w:type="dxa"/>
              <w:right w:w="180" w:type="dxa"/>
            </w:tcMar>
          </w:tcPr>
          <w:p>
            <w:pPr>
              <w:jc w:val="left"/>
            </w:pPr>
            <w:r>
              <w:rPr>
                <w:rFonts w:ascii="Calibri" w:hAnsi="Calibri"/>
                <w:b/>
                <w:color w:val="F7F4EC"/>
                <w:sz w:val="19"/>
              </w:rPr>
              <w:t>Year 5 (Ramp)</w:t>
            </w:r>
          </w:p>
        </w:tc>
        <w:tc>
          <w:tcPr>
            <w:tcW w:type="dxa" w:w="1584"/>
            <w:shd w:fill="19382D"/>
            <w:tcMar>
              <w:top w:w="140" w:type="dxa"/>
              <w:bottom w:w="140" w:type="dxa"/>
              <w:left w:w="180" w:type="dxa"/>
              <w:right w:w="180" w:type="dxa"/>
            </w:tcMar>
          </w:tcPr>
          <w:p>
            <w:pPr>
              <w:jc w:val="left"/>
            </w:pPr>
            <w:r>
              <w:rPr>
                <w:rFonts w:ascii="Calibri" w:hAnsi="Calibri"/>
                <w:b/>
                <w:color w:val="F7F4EC"/>
                <w:sz w:val="19"/>
              </w:rPr>
              <w:t>Year 7 (Stabilized)</w:t>
            </w:r>
          </w:p>
        </w:tc>
        <w:tc>
          <w:tcPr>
            <w:tcW w:type="dxa" w:w="1584"/>
            <w:shd w:fill="19382D"/>
            <w:tcMar>
              <w:top w:w="140" w:type="dxa"/>
              <w:bottom w:w="140" w:type="dxa"/>
              <w:left w:w="180" w:type="dxa"/>
              <w:right w:w="180" w:type="dxa"/>
            </w:tcMar>
          </w:tcPr>
          <w:p>
            <w:pPr>
              <w:jc w:val="left"/>
            </w:pPr>
            <w:r>
              <w:rPr>
                <w:rFonts w:ascii="Calibri" w:hAnsi="Calibri"/>
                <w:b/>
                <w:color w:val="F7F4EC"/>
                <w:sz w:val="19"/>
              </w:rPr>
              <w:t>Year 10 (Terminal)</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Operational Units / Keys</w:t>
            </w:r>
          </w:p>
        </w:tc>
        <w:tc>
          <w:tcPr>
            <w:tcW w:type="dxa" w:w="1584"/>
            <w:shd w:fill="FFFFFF"/>
            <w:tcMar>
              <w:top w:w="100" w:type="dxa"/>
              <w:bottom w:w="100" w:type="dxa"/>
              <w:left w:w="160" w:type="dxa"/>
              <w:right w:w="160" w:type="dxa"/>
            </w:tcMar>
          </w:tcPr>
          <w:p>
            <w:pPr>
              <w:jc w:val="left"/>
            </w:pPr>
            <w:r>
              <w:rPr>
                <w:rFonts w:ascii="Calibri" w:hAnsi="Calibri"/>
                <w:color w:val="282C29"/>
                <w:sz w:val="18"/>
              </w:rPr>
              <w:t>12 Keys</w:t>
            </w:r>
          </w:p>
        </w:tc>
        <w:tc>
          <w:tcPr>
            <w:tcW w:type="dxa" w:w="1584"/>
            <w:shd w:fill="FFFFFF"/>
            <w:tcMar>
              <w:top w:w="100" w:type="dxa"/>
              <w:bottom w:w="100" w:type="dxa"/>
              <w:left w:w="160" w:type="dxa"/>
              <w:right w:w="160" w:type="dxa"/>
            </w:tcMar>
          </w:tcPr>
          <w:p>
            <w:pPr>
              <w:jc w:val="left"/>
            </w:pPr>
            <w:r>
              <w:rPr>
                <w:rFonts w:ascii="Calibri" w:hAnsi="Calibri"/>
                <w:color w:val="282C29"/>
                <w:sz w:val="18"/>
              </w:rPr>
              <w:t>14 Keys</w:t>
            </w:r>
          </w:p>
        </w:tc>
        <w:tc>
          <w:tcPr>
            <w:tcW w:type="dxa" w:w="1584"/>
            <w:shd w:fill="FFFFFF"/>
            <w:tcMar>
              <w:top w:w="100" w:type="dxa"/>
              <w:bottom w:w="100" w:type="dxa"/>
              <w:left w:w="160" w:type="dxa"/>
              <w:right w:w="160" w:type="dxa"/>
            </w:tcMar>
          </w:tcPr>
          <w:p>
            <w:pPr>
              <w:jc w:val="left"/>
            </w:pPr>
            <w:r>
              <w:rPr>
                <w:rFonts w:ascii="Calibri" w:hAnsi="Calibri"/>
                <w:color w:val="282C29"/>
                <w:sz w:val="18"/>
              </w:rPr>
              <w:t>15 Keys</w:t>
            </w:r>
          </w:p>
        </w:tc>
        <w:tc>
          <w:tcPr>
            <w:tcW w:type="dxa" w:w="1584"/>
            <w:shd w:fill="FFFFFF"/>
            <w:tcMar>
              <w:top w:w="100" w:type="dxa"/>
              <w:bottom w:w="100" w:type="dxa"/>
              <w:left w:w="160" w:type="dxa"/>
              <w:right w:w="160" w:type="dxa"/>
            </w:tcMar>
          </w:tcPr>
          <w:p>
            <w:pPr>
              <w:jc w:val="left"/>
            </w:pPr>
            <w:r>
              <w:rPr>
                <w:rFonts w:ascii="Calibri" w:hAnsi="Calibri"/>
                <w:color w:val="282C29"/>
                <w:sz w:val="18"/>
              </w:rPr>
              <w:t>15 Keys</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Average Daily Rate (ADR)</w:t>
            </w:r>
          </w:p>
        </w:tc>
        <w:tc>
          <w:tcPr>
            <w:tcW w:type="dxa" w:w="1584"/>
            <w:shd w:fill="FAF8F5"/>
            <w:tcMar>
              <w:top w:w="100" w:type="dxa"/>
              <w:bottom w:w="100" w:type="dxa"/>
              <w:left w:w="160" w:type="dxa"/>
              <w:right w:w="160" w:type="dxa"/>
            </w:tcMar>
          </w:tcPr>
          <w:p>
            <w:pPr>
              <w:jc w:val="left"/>
            </w:pPr>
            <w:r>
              <w:rPr>
                <w:rFonts w:ascii="Calibri" w:hAnsi="Calibri"/>
                <w:color w:val="282C29"/>
                <w:sz w:val="18"/>
              </w:rPr>
              <w:t>US$380</w:t>
            </w:r>
          </w:p>
        </w:tc>
        <w:tc>
          <w:tcPr>
            <w:tcW w:type="dxa" w:w="1584"/>
            <w:shd w:fill="FAF8F5"/>
            <w:tcMar>
              <w:top w:w="100" w:type="dxa"/>
              <w:bottom w:w="100" w:type="dxa"/>
              <w:left w:w="160" w:type="dxa"/>
              <w:right w:w="160" w:type="dxa"/>
            </w:tcMar>
          </w:tcPr>
          <w:p>
            <w:pPr>
              <w:jc w:val="left"/>
            </w:pPr>
            <w:r>
              <w:rPr>
                <w:rFonts w:ascii="Calibri" w:hAnsi="Calibri"/>
                <w:color w:val="282C29"/>
                <w:sz w:val="18"/>
              </w:rPr>
              <w:t>US$440</w:t>
            </w:r>
          </w:p>
        </w:tc>
        <w:tc>
          <w:tcPr>
            <w:tcW w:type="dxa" w:w="1584"/>
            <w:shd w:fill="FAF8F5"/>
            <w:tcMar>
              <w:top w:w="100" w:type="dxa"/>
              <w:bottom w:w="100" w:type="dxa"/>
              <w:left w:w="160" w:type="dxa"/>
              <w:right w:w="160" w:type="dxa"/>
            </w:tcMar>
          </w:tcPr>
          <w:p>
            <w:pPr>
              <w:jc w:val="left"/>
            </w:pPr>
            <w:r>
              <w:rPr>
                <w:rFonts w:ascii="Calibri" w:hAnsi="Calibri"/>
                <w:color w:val="282C29"/>
                <w:sz w:val="18"/>
              </w:rPr>
              <w:t>US$500</w:t>
            </w:r>
          </w:p>
        </w:tc>
        <w:tc>
          <w:tcPr>
            <w:tcW w:type="dxa" w:w="1584"/>
            <w:shd w:fill="FAF8F5"/>
            <w:tcMar>
              <w:top w:w="100" w:type="dxa"/>
              <w:bottom w:w="100" w:type="dxa"/>
              <w:left w:w="160" w:type="dxa"/>
              <w:right w:w="160" w:type="dxa"/>
            </w:tcMar>
          </w:tcPr>
          <w:p>
            <w:pPr>
              <w:jc w:val="left"/>
            </w:pPr>
            <w:r>
              <w:rPr>
                <w:rFonts w:ascii="Calibri" w:hAnsi="Calibri"/>
                <w:color w:val="282C29"/>
                <w:sz w:val="18"/>
              </w:rPr>
              <w:t>US$560</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Annual Occupancy (%)</w:t>
            </w:r>
          </w:p>
        </w:tc>
        <w:tc>
          <w:tcPr>
            <w:tcW w:type="dxa" w:w="1584"/>
            <w:shd w:fill="FFFFFF"/>
            <w:tcMar>
              <w:top w:w="100" w:type="dxa"/>
              <w:bottom w:w="100" w:type="dxa"/>
              <w:left w:w="160" w:type="dxa"/>
              <w:right w:w="160" w:type="dxa"/>
            </w:tcMar>
          </w:tcPr>
          <w:p>
            <w:pPr>
              <w:jc w:val="left"/>
            </w:pPr>
            <w:r>
              <w:rPr>
                <w:rFonts w:ascii="Calibri" w:hAnsi="Calibri"/>
                <w:color w:val="282C29"/>
                <w:sz w:val="18"/>
              </w:rPr>
              <w:t>35.0%</w:t>
            </w:r>
          </w:p>
        </w:tc>
        <w:tc>
          <w:tcPr>
            <w:tcW w:type="dxa" w:w="1584"/>
            <w:shd w:fill="FFFFFF"/>
            <w:tcMar>
              <w:top w:w="100" w:type="dxa"/>
              <w:bottom w:w="100" w:type="dxa"/>
              <w:left w:w="160" w:type="dxa"/>
              <w:right w:w="160" w:type="dxa"/>
            </w:tcMar>
          </w:tcPr>
          <w:p>
            <w:pPr>
              <w:jc w:val="left"/>
            </w:pPr>
            <w:r>
              <w:rPr>
                <w:rFonts w:ascii="Calibri" w:hAnsi="Calibri"/>
                <w:color w:val="282C29"/>
                <w:sz w:val="18"/>
              </w:rPr>
              <w:t>52.0%</w:t>
            </w:r>
          </w:p>
        </w:tc>
        <w:tc>
          <w:tcPr>
            <w:tcW w:type="dxa" w:w="1584"/>
            <w:shd w:fill="FFFFFF"/>
            <w:tcMar>
              <w:top w:w="100" w:type="dxa"/>
              <w:bottom w:w="100" w:type="dxa"/>
              <w:left w:w="160" w:type="dxa"/>
              <w:right w:w="160" w:type="dxa"/>
            </w:tcMar>
          </w:tcPr>
          <w:p>
            <w:pPr>
              <w:jc w:val="left"/>
            </w:pPr>
            <w:r>
              <w:rPr>
                <w:rFonts w:ascii="Calibri" w:hAnsi="Calibri"/>
                <w:color w:val="282C29"/>
                <w:sz w:val="18"/>
              </w:rPr>
              <w:t>62.0%</w:t>
            </w:r>
          </w:p>
        </w:tc>
        <w:tc>
          <w:tcPr>
            <w:tcW w:type="dxa" w:w="1584"/>
            <w:shd w:fill="FFFFFF"/>
            <w:tcMar>
              <w:top w:w="100" w:type="dxa"/>
              <w:bottom w:w="100" w:type="dxa"/>
              <w:left w:w="160" w:type="dxa"/>
              <w:right w:w="160" w:type="dxa"/>
            </w:tcMar>
          </w:tcPr>
          <w:p>
            <w:pPr>
              <w:jc w:val="left"/>
            </w:pPr>
            <w:r>
              <w:rPr>
                <w:rFonts w:ascii="Calibri" w:hAnsi="Calibri"/>
                <w:color w:val="282C29"/>
                <w:sz w:val="18"/>
              </w:rPr>
              <w:t>68.0%</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Room Revenue</w:t>
            </w:r>
          </w:p>
        </w:tc>
        <w:tc>
          <w:tcPr>
            <w:tcW w:type="dxa" w:w="1584"/>
            <w:shd w:fill="FAF8F5"/>
            <w:tcMar>
              <w:top w:w="100" w:type="dxa"/>
              <w:bottom w:w="100" w:type="dxa"/>
              <w:left w:w="160" w:type="dxa"/>
              <w:right w:w="160" w:type="dxa"/>
            </w:tcMar>
          </w:tcPr>
          <w:p>
            <w:pPr>
              <w:jc w:val="left"/>
            </w:pPr>
            <w:r>
              <w:rPr>
                <w:rFonts w:ascii="Calibri" w:hAnsi="Calibri"/>
                <w:color w:val="282C29"/>
                <w:sz w:val="18"/>
              </w:rPr>
              <w:t>$582,540</w:t>
            </w:r>
          </w:p>
        </w:tc>
        <w:tc>
          <w:tcPr>
            <w:tcW w:type="dxa" w:w="1584"/>
            <w:shd w:fill="FAF8F5"/>
            <w:tcMar>
              <w:top w:w="100" w:type="dxa"/>
              <w:bottom w:w="100" w:type="dxa"/>
              <w:left w:w="160" w:type="dxa"/>
              <w:right w:w="160" w:type="dxa"/>
            </w:tcMar>
          </w:tcPr>
          <w:p>
            <w:pPr>
              <w:jc w:val="left"/>
            </w:pPr>
            <w:r>
              <w:rPr>
                <w:rFonts w:ascii="Calibri" w:hAnsi="Calibri"/>
                <w:color w:val="282C29"/>
                <w:sz w:val="18"/>
              </w:rPr>
              <w:t>$1,167,416</w:t>
            </w:r>
          </w:p>
        </w:tc>
        <w:tc>
          <w:tcPr>
            <w:tcW w:type="dxa" w:w="1584"/>
            <w:shd w:fill="FAF8F5"/>
            <w:tcMar>
              <w:top w:w="100" w:type="dxa"/>
              <w:bottom w:w="100" w:type="dxa"/>
              <w:left w:w="160" w:type="dxa"/>
              <w:right w:w="160" w:type="dxa"/>
            </w:tcMar>
          </w:tcPr>
          <w:p>
            <w:pPr>
              <w:jc w:val="left"/>
            </w:pPr>
            <w:r>
              <w:rPr>
                <w:rFonts w:ascii="Calibri" w:hAnsi="Calibri"/>
                <w:color w:val="282C29"/>
                <w:sz w:val="18"/>
              </w:rPr>
              <w:t>$1,697,250</w:t>
            </w:r>
          </w:p>
        </w:tc>
        <w:tc>
          <w:tcPr>
            <w:tcW w:type="dxa" w:w="1584"/>
            <w:shd w:fill="FAF8F5"/>
            <w:tcMar>
              <w:top w:w="100" w:type="dxa"/>
              <w:bottom w:w="100" w:type="dxa"/>
              <w:left w:w="160" w:type="dxa"/>
              <w:right w:w="160" w:type="dxa"/>
            </w:tcMar>
          </w:tcPr>
          <w:p>
            <w:pPr>
              <w:jc w:val="left"/>
            </w:pPr>
            <w:r>
              <w:rPr>
                <w:rFonts w:ascii="Calibri" w:hAnsi="Calibri"/>
                <w:color w:val="282C29"/>
                <w:sz w:val="18"/>
              </w:rPr>
              <w:t>$2,082,690</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Food &amp; Beverage Revenue (50% of Room)</w:t>
            </w:r>
          </w:p>
        </w:tc>
        <w:tc>
          <w:tcPr>
            <w:tcW w:type="dxa" w:w="1584"/>
            <w:shd w:fill="FFFFFF"/>
            <w:tcMar>
              <w:top w:w="100" w:type="dxa"/>
              <w:bottom w:w="100" w:type="dxa"/>
              <w:left w:w="160" w:type="dxa"/>
              <w:right w:w="160" w:type="dxa"/>
            </w:tcMar>
          </w:tcPr>
          <w:p>
            <w:pPr>
              <w:jc w:val="left"/>
            </w:pPr>
            <w:r>
              <w:rPr>
                <w:rFonts w:ascii="Calibri" w:hAnsi="Calibri"/>
                <w:color w:val="282C29"/>
                <w:sz w:val="18"/>
              </w:rPr>
              <w:t>$291,270</w:t>
            </w:r>
          </w:p>
        </w:tc>
        <w:tc>
          <w:tcPr>
            <w:tcW w:type="dxa" w:w="1584"/>
            <w:shd w:fill="FFFFFF"/>
            <w:tcMar>
              <w:top w:w="100" w:type="dxa"/>
              <w:bottom w:w="100" w:type="dxa"/>
              <w:left w:w="160" w:type="dxa"/>
              <w:right w:w="160" w:type="dxa"/>
            </w:tcMar>
          </w:tcPr>
          <w:p>
            <w:pPr>
              <w:jc w:val="left"/>
            </w:pPr>
            <w:r>
              <w:rPr>
                <w:rFonts w:ascii="Calibri" w:hAnsi="Calibri"/>
                <w:color w:val="282C29"/>
                <w:sz w:val="18"/>
              </w:rPr>
              <w:t>$583,708</w:t>
            </w:r>
          </w:p>
        </w:tc>
        <w:tc>
          <w:tcPr>
            <w:tcW w:type="dxa" w:w="1584"/>
            <w:shd w:fill="FFFFFF"/>
            <w:tcMar>
              <w:top w:w="100" w:type="dxa"/>
              <w:bottom w:w="100" w:type="dxa"/>
              <w:left w:w="160" w:type="dxa"/>
              <w:right w:w="160" w:type="dxa"/>
            </w:tcMar>
          </w:tcPr>
          <w:p>
            <w:pPr>
              <w:jc w:val="left"/>
            </w:pPr>
            <w:r>
              <w:rPr>
                <w:rFonts w:ascii="Calibri" w:hAnsi="Calibri"/>
                <w:color w:val="282C29"/>
                <w:sz w:val="18"/>
              </w:rPr>
              <w:t>$848,625</w:t>
            </w:r>
          </w:p>
        </w:tc>
        <w:tc>
          <w:tcPr>
            <w:tcW w:type="dxa" w:w="1584"/>
            <w:shd w:fill="FFFFFF"/>
            <w:tcMar>
              <w:top w:w="100" w:type="dxa"/>
              <w:bottom w:w="100" w:type="dxa"/>
              <w:left w:w="160" w:type="dxa"/>
              <w:right w:w="160" w:type="dxa"/>
            </w:tcMar>
          </w:tcPr>
          <w:p>
            <w:pPr>
              <w:jc w:val="left"/>
            </w:pPr>
            <w:r>
              <w:rPr>
                <w:rFonts w:ascii="Calibri" w:hAnsi="Calibri"/>
                <w:color w:val="282C29"/>
                <w:sz w:val="18"/>
              </w:rPr>
              <w:t>$1,041,345</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Experiences, Farm Sales &amp; Wellness</w:t>
            </w:r>
          </w:p>
        </w:tc>
        <w:tc>
          <w:tcPr>
            <w:tcW w:type="dxa" w:w="1584"/>
            <w:shd w:fill="FAF8F5"/>
            <w:tcMar>
              <w:top w:w="100" w:type="dxa"/>
              <w:bottom w:w="100" w:type="dxa"/>
              <w:left w:w="160" w:type="dxa"/>
              <w:right w:w="160" w:type="dxa"/>
            </w:tcMar>
          </w:tcPr>
          <w:p>
            <w:pPr>
              <w:jc w:val="left"/>
            </w:pPr>
            <w:r>
              <w:rPr>
                <w:rFonts w:ascii="Calibri" w:hAnsi="Calibri"/>
                <w:color w:val="282C29"/>
                <w:sz w:val="18"/>
              </w:rPr>
              <w:t>$58,254</w:t>
            </w:r>
          </w:p>
        </w:tc>
        <w:tc>
          <w:tcPr>
            <w:tcW w:type="dxa" w:w="1584"/>
            <w:shd w:fill="FAF8F5"/>
            <w:tcMar>
              <w:top w:w="100" w:type="dxa"/>
              <w:bottom w:w="100" w:type="dxa"/>
              <w:left w:w="160" w:type="dxa"/>
              <w:right w:w="160" w:type="dxa"/>
            </w:tcMar>
          </w:tcPr>
          <w:p>
            <w:pPr>
              <w:jc w:val="left"/>
            </w:pPr>
            <w:r>
              <w:rPr>
                <w:rFonts w:ascii="Calibri" w:hAnsi="Calibri"/>
                <w:color w:val="282C29"/>
                <w:sz w:val="18"/>
              </w:rPr>
              <w:t>$116,742</w:t>
            </w:r>
          </w:p>
        </w:tc>
        <w:tc>
          <w:tcPr>
            <w:tcW w:type="dxa" w:w="1584"/>
            <w:shd w:fill="FAF8F5"/>
            <w:tcMar>
              <w:top w:w="100" w:type="dxa"/>
              <w:bottom w:w="100" w:type="dxa"/>
              <w:left w:w="160" w:type="dxa"/>
              <w:right w:w="160" w:type="dxa"/>
            </w:tcMar>
          </w:tcPr>
          <w:p>
            <w:pPr>
              <w:jc w:val="left"/>
            </w:pPr>
            <w:r>
              <w:rPr>
                <w:rFonts w:ascii="Calibri" w:hAnsi="Calibri"/>
                <w:color w:val="282C29"/>
                <w:sz w:val="18"/>
              </w:rPr>
              <w:t>$169,725</w:t>
            </w:r>
          </w:p>
        </w:tc>
        <w:tc>
          <w:tcPr>
            <w:tcW w:type="dxa" w:w="1584"/>
            <w:shd w:fill="FAF8F5"/>
            <w:tcMar>
              <w:top w:w="100" w:type="dxa"/>
              <w:bottom w:w="100" w:type="dxa"/>
              <w:left w:w="160" w:type="dxa"/>
              <w:right w:w="160" w:type="dxa"/>
            </w:tcMar>
          </w:tcPr>
          <w:p>
            <w:pPr>
              <w:jc w:val="left"/>
            </w:pPr>
            <w:r>
              <w:rPr>
                <w:rFonts w:ascii="Calibri" w:hAnsi="Calibri"/>
                <w:color w:val="282C29"/>
                <w:sz w:val="18"/>
              </w:rPr>
              <w:t>$208,269</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TOTAL GROSS REVENUE</w:t>
            </w:r>
          </w:p>
        </w:tc>
        <w:tc>
          <w:tcPr>
            <w:tcW w:type="dxa" w:w="1584"/>
            <w:shd w:fill="FFFFFF"/>
            <w:tcMar>
              <w:top w:w="100" w:type="dxa"/>
              <w:bottom w:w="100" w:type="dxa"/>
              <w:left w:w="160" w:type="dxa"/>
              <w:right w:w="160" w:type="dxa"/>
            </w:tcMar>
          </w:tcPr>
          <w:p>
            <w:pPr>
              <w:jc w:val="left"/>
            </w:pPr>
            <w:r>
              <w:rPr>
                <w:rFonts w:ascii="Calibri" w:hAnsi="Calibri"/>
                <w:color w:val="282C29"/>
                <w:sz w:val="18"/>
              </w:rPr>
              <w:t>$932,064</w:t>
            </w:r>
          </w:p>
        </w:tc>
        <w:tc>
          <w:tcPr>
            <w:tcW w:type="dxa" w:w="1584"/>
            <w:shd w:fill="FFFFFF"/>
            <w:tcMar>
              <w:top w:w="100" w:type="dxa"/>
              <w:bottom w:w="100" w:type="dxa"/>
              <w:left w:w="160" w:type="dxa"/>
              <w:right w:w="160" w:type="dxa"/>
            </w:tcMar>
          </w:tcPr>
          <w:p>
            <w:pPr>
              <w:jc w:val="left"/>
            </w:pPr>
            <w:r>
              <w:rPr>
                <w:rFonts w:ascii="Calibri" w:hAnsi="Calibri"/>
                <w:color w:val="282C29"/>
                <w:sz w:val="18"/>
              </w:rPr>
              <w:t>$1,867,866</w:t>
            </w:r>
          </w:p>
        </w:tc>
        <w:tc>
          <w:tcPr>
            <w:tcW w:type="dxa" w:w="1584"/>
            <w:shd w:fill="FFFFFF"/>
            <w:tcMar>
              <w:top w:w="100" w:type="dxa"/>
              <w:bottom w:w="100" w:type="dxa"/>
              <w:left w:w="160" w:type="dxa"/>
              <w:right w:w="160" w:type="dxa"/>
            </w:tcMar>
          </w:tcPr>
          <w:p>
            <w:pPr>
              <w:jc w:val="left"/>
            </w:pPr>
            <w:r>
              <w:rPr>
                <w:rFonts w:ascii="Calibri" w:hAnsi="Calibri"/>
                <w:color w:val="282C29"/>
                <w:sz w:val="18"/>
              </w:rPr>
              <w:t>$2,715,600</w:t>
            </w:r>
          </w:p>
        </w:tc>
        <w:tc>
          <w:tcPr>
            <w:tcW w:type="dxa" w:w="1584"/>
            <w:shd w:fill="FFFFFF"/>
            <w:tcMar>
              <w:top w:w="100" w:type="dxa"/>
              <w:bottom w:w="100" w:type="dxa"/>
              <w:left w:w="160" w:type="dxa"/>
              <w:right w:w="160" w:type="dxa"/>
            </w:tcMar>
          </w:tcPr>
          <w:p>
            <w:pPr>
              <w:jc w:val="left"/>
            </w:pPr>
            <w:r>
              <w:rPr>
                <w:rFonts w:ascii="Calibri" w:hAnsi="Calibri"/>
                <w:color w:val="282C29"/>
                <w:sz w:val="18"/>
              </w:rPr>
              <w:t>$3,332,304</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Departmental Costs &amp; Opex</w:t>
            </w:r>
          </w:p>
        </w:tc>
        <w:tc>
          <w:tcPr>
            <w:tcW w:type="dxa" w:w="1584"/>
            <w:shd w:fill="FAF8F5"/>
            <w:tcMar>
              <w:top w:w="100" w:type="dxa"/>
              <w:bottom w:w="100" w:type="dxa"/>
              <w:left w:w="160" w:type="dxa"/>
              <w:right w:w="160" w:type="dxa"/>
            </w:tcMar>
          </w:tcPr>
          <w:p>
            <w:pPr>
              <w:jc w:val="left"/>
            </w:pPr>
            <w:r>
              <w:rPr>
                <w:rFonts w:ascii="Calibri" w:hAnsi="Calibri"/>
                <w:color w:val="282C29"/>
                <w:sz w:val="18"/>
              </w:rPr>
              <w:t>($372,826)</w:t>
            </w:r>
          </w:p>
        </w:tc>
        <w:tc>
          <w:tcPr>
            <w:tcW w:type="dxa" w:w="1584"/>
            <w:shd w:fill="FAF8F5"/>
            <w:tcMar>
              <w:top w:w="100" w:type="dxa"/>
              <w:bottom w:w="100" w:type="dxa"/>
              <w:left w:w="160" w:type="dxa"/>
              <w:right w:w="160" w:type="dxa"/>
            </w:tcMar>
          </w:tcPr>
          <w:p>
            <w:pPr>
              <w:jc w:val="left"/>
            </w:pPr>
            <w:r>
              <w:rPr>
                <w:rFonts w:ascii="Calibri" w:hAnsi="Calibri"/>
                <w:color w:val="282C29"/>
                <w:sz w:val="18"/>
              </w:rPr>
              <w:t>($709,789)</w:t>
            </w:r>
          </w:p>
        </w:tc>
        <w:tc>
          <w:tcPr>
            <w:tcW w:type="dxa" w:w="1584"/>
            <w:shd w:fill="FAF8F5"/>
            <w:tcMar>
              <w:top w:w="100" w:type="dxa"/>
              <w:bottom w:w="100" w:type="dxa"/>
              <w:left w:w="160" w:type="dxa"/>
              <w:right w:w="160" w:type="dxa"/>
            </w:tcMar>
          </w:tcPr>
          <w:p>
            <w:pPr>
              <w:jc w:val="left"/>
            </w:pPr>
            <w:r>
              <w:rPr>
                <w:rFonts w:ascii="Calibri" w:hAnsi="Calibri"/>
                <w:color w:val="282C29"/>
                <w:sz w:val="18"/>
              </w:rPr>
              <w:t>($977,616)</w:t>
            </w:r>
          </w:p>
        </w:tc>
        <w:tc>
          <w:tcPr>
            <w:tcW w:type="dxa" w:w="1584"/>
            <w:shd w:fill="FAF8F5"/>
            <w:tcMar>
              <w:top w:w="100" w:type="dxa"/>
              <w:bottom w:w="100" w:type="dxa"/>
              <w:left w:w="160" w:type="dxa"/>
              <w:right w:w="160" w:type="dxa"/>
            </w:tcMar>
          </w:tcPr>
          <w:p>
            <w:pPr>
              <w:jc w:val="left"/>
            </w:pPr>
            <w:r>
              <w:rPr>
                <w:rFonts w:ascii="Calibri" w:hAnsi="Calibri"/>
                <w:color w:val="282C29"/>
                <w:sz w:val="18"/>
              </w:rPr>
              <w:t>($1,166,306)</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Undistributed Operating Expenses</w:t>
            </w:r>
          </w:p>
        </w:tc>
        <w:tc>
          <w:tcPr>
            <w:tcW w:type="dxa" w:w="1584"/>
            <w:shd w:fill="FFFFFF"/>
            <w:tcMar>
              <w:top w:w="100" w:type="dxa"/>
              <w:bottom w:w="100" w:type="dxa"/>
              <w:left w:w="160" w:type="dxa"/>
              <w:right w:w="160" w:type="dxa"/>
            </w:tcMar>
          </w:tcPr>
          <w:p>
            <w:pPr>
              <w:jc w:val="left"/>
            </w:pPr>
            <w:r>
              <w:rPr>
                <w:rFonts w:ascii="Calibri" w:hAnsi="Calibri"/>
                <w:color w:val="282C29"/>
                <w:sz w:val="18"/>
              </w:rPr>
              <w:t>($260,978)</w:t>
            </w:r>
          </w:p>
        </w:tc>
        <w:tc>
          <w:tcPr>
            <w:tcW w:type="dxa" w:w="1584"/>
            <w:shd w:fill="FFFFFF"/>
            <w:tcMar>
              <w:top w:w="100" w:type="dxa"/>
              <w:bottom w:w="100" w:type="dxa"/>
              <w:left w:w="160" w:type="dxa"/>
              <w:right w:w="160" w:type="dxa"/>
            </w:tcMar>
          </w:tcPr>
          <w:p>
            <w:pPr>
              <w:jc w:val="left"/>
            </w:pPr>
            <w:r>
              <w:rPr>
                <w:rFonts w:ascii="Calibri" w:hAnsi="Calibri"/>
                <w:color w:val="282C29"/>
                <w:sz w:val="18"/>
              </w:rPr>
              <w:t>($485,645)</w:t>
            </w:r>
          </w:p>
        </w:tc>
        <w:tc>
          <w:tcPr>
            <w:tcW w:type="dxa" w:w="1584"/>
            <w:shd w:fill="FFFFFF"/>
            <w:tcMar>
              <w:top w:w="100" w:type="dxa"/>
              <w:bottom w:w="100" w:type="dxa"/>
              <w:left w:w="160" w:type="dxa"/>
              <w:right w:w="160" w:type="dxa"/>
            </w:tcMar>
          </w:tcPr>
          <w:p>
            <w:pPr>
              <w:jc w:val="left"/>
            </w:pPr>
            <w:r>
              <w:rPr>
                <w:rFonts w:ascii="Calibri" w:hAnsi="Calibri"/>
                <w:color w:val="282C29"/>
                <w:sz w:val="18"/>
              </w:rPr>
              <w:t>($678,900)</w:t>
            </w:r>
          </w:p>
        </w:tc>
        <w:tc>
          <w:tcPr>
            <w:tcW w:type="dxa" w:w="1584"/>
            <w:shd w:fill="FFFFFF"/>
            <w:tcMar>
              <w:top w:w="100" w:type="dxa"/>
              <w:bottom w:w="100" w:type="dxa"/>
              <w:left w:w="160" w:type="dxa"/>
              <w:right w:w="160" w:type="dxa"/>
            </w:tcMar>
          </w:tcPr>
          <w:p>
            <w:pPr>
              <w:jc w:val="left"/>
            </w:pPr>
            <w:r>
              <w:rPr>
                <w:rFonts w:ascii="Calibri" w:hAnsi="Calibri"/>
                <w:color w:val="282C29"/>
                <w:sz w:val="18"/>
              </w:rPr>
              <w:t>($833,076)</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GROSS OPERATING PROFIT (GOP)</w:t>
            </w:r>
          </w:p>
        </w:tc>
        <w:tc>
          <w:tcPr>
            <w:tcW w:type="dxa" w:w="1584"/>
            <w:shd w:fill="FAF8F5"/>
            <w:tcMar>
              <w:top w:w="100" w:type="dxa"/>
              <w:bottom w:w="100" w:type="dxa"/>
              <w:left w:w="160" w:type="dxa"/>
              <w:right w:w="160" w:type="dxa"/>
            </w:tcMar>
          </w:tcPr>
          <w:p>
            <w:pPr>
              <w:jc w:val="left"/>
            </w:pPr>
            <w:r>
              <w:rPr>
                <w:rFonts w:ascii="Calibri" w:hAnsi="Calibri"/>
                <w:color w:val="282C29"/>
                <w:sz w:val="18"/>
              </w:rPr>
              <w:t>$298,260</w:t>
            </w:r>
          </w:p>
        </w:tc>
        <w:tc>
          <w:tcPr>
            <w:tcW w:type="dxa" w:w="1584"/>
            <w:shd w:fill="FAF8F5"/>
            <w:tcMar>
              <w:top w:w="100" w:type="dxa"/>
              <w:bottom w:w="100" w:type="dxa"/>
              <w:left w:w="160" w:type="dxa"/>
              <w:right w:w="160" w:type="dxa"/>
            </w:tcMar>
          </w:tcPr>
          <w:p>
            <w:pPr>
              <w:jc w:val="left"/>
            </w:pPr>
            <w:r>
              <w:rPr>
                <w:rFonts w:ascii="Calibri" w:hAnsi="Calibri"/>
                <w:color w:val="282C29"/>
                <w:sz w:val="18"/>
              </w:rPr>
              <w:t>$672,432</w:t>
            </w:r>
          </w:p>
        </w:tc>
        <w:tc>
          <w:tcPr>
            <w:tcW w:type="dxa" w:w="1584"/>
            <w:shd w:fill="FAF8F5"/>
            <w:tcMar>
              <w:top w:w="100" w:type="dxa"/>
              <w:bottom w:w="100" w:type="dxa"/>
              <w:left w:w="160" w:type="dxa"/>
              <w:right w:w="160" w:type="dxa"/>
            </w:tcMar>
          </w:tcPr>
          <w:p>
            <w:pPr>
              <w:jc w:val="left"/>
            </w:pPr>
            <w:r>
              <w:rPr>
                <w:rFonts w:ascii="Calibri" w:hAnsi="Calibri"/>
                <w:color w:val="282C29"/>
                <w:sz w:val="18"/>
              </w:rPr>
              <w:t>$1,059,084</w:t>
            </w:r>
          </w:p>
        </w:tc>
        <w:tc>
          <w:tcPr>
            <w:tcW w:type="dxa" w:w="1584"/>
            <w:shd w:fill="FAF8F5"/>
            <w:tcMar>
              <w:top w:w="100" w:type="dxa"/>
              <w:bottom w:w="100" w:type="dxa"/>
              <w:left w:w="160" w:type="dxa"/>
              <w:right w:w="160" w:type="dxa"/>
            </w:tcMar>
          </w:tcPr>
          <w:p>
            <w:pPr>
              <w:jc w:val="left"/>
            </w:pPr>
            <w:r>
              <w:rPr>
                <w:rFonts w:ascii="Calibri" w:hAnsi="Calibri"/>
                <w:color w:val="282C29"/>
                <w:sz w:val="18"/>
              </w:rPr>
              <w:t>$1,332,922</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Management &amp; Incentive Fees (8%)</w:t>
            </w:r>
          </w:p>
        </w:tc>
        <w:tc>
          <w:tcPr>
            <w:tcW w:type="dxa" w:w="1584"/>
            <w:shd w:fill="FFFFFF"/>
            <w:tcMar>
              <w:top w:w="100" w:type="dxa"/>
              <w:bottom w:w="100" w:type="dxa"/>
              <w:left w:w="160" w:type="dxa"/>
              <w:right w:w="160" w:type="dxa"/>
            </w:tcMar>
          </w:tcPr>
          <w:p>
            <w:pPr>
              <w:jc w:val="left"/>
            </w:pPr>
            <w:r>
              <w:rPr>
                <w:rFonts w:ascii="Calibri" w:hAnsi="Calibri"/>
                <w:color w:val="282C29"/>
                <w:sz w:val="18"/>
              </w:rPr>
              <w:t>($74,565)</w:t>
            </w:r>
          </w:p>
        </w:tc>
        <w:tc>
          <w:tcPr>
            <w:tcW w:type="dxa" w:w="1584"/>
            <w:shd w:fill="FFFFFF"/>
            <w:tcMar>
              <w:top w:w="100" w:type="dxa"/>
              <w:bottom w:w="100" w:type="dxa"/>
              <w:left w:w="160" w:type="dxa"/>
              <w:right w:w="160" w:type="dxa"/>
            </w:tcMar>
          </w:tcPr>
          <w:p>
            <w:pPr>
              <w:jc w:val="left"/>
            </w:pPr>
            <w:r>
              <w:rPr>
                <w:rFonts w:ascii="Calibri" w:hAnsi="Calibri"/>
                <w:color w:val="282C29"/>
                <w:sz w:val="18"/>
              </w:rPr>
              <w:t>($149,429)</w:t>
            </w:r>
          </w:p>
        </w:tc>
        <w:tc>
          <w:tcPr>
            <w:tcW w:type="dxa" w:w="1584"/>
            <w:shd w:fill="FFFFFF"/>
            <w:tcMar>
              <w:top w:w="100" w:type="dxa"/>
              <w:bottom w:w="100" w:type="dxa"/>
              <w:left w:w="160" w:type="dxa"/>
              <w:right w:w="160" w:type="dxa"/>
            </w:tcMar>
          </w:tcPr>
          <w:p>
            <w:pPr>
              <w:jc w:val="left"/>
            </w:pPr>
            <w:r>
              <w:rPr>
                <w:rFonts w:ascii="Calibri" w:hAnsi="Calibri"/>
                <w:color w:val="282C29"/>
                <w:sz w:val="18"/>
              </w:rPr>
              <w:t>($217,248)</w:t>
            </w:r>
          </w:p>
        </w:tc>
        <w:tc>
          <w:tcPr>
            <w:tcW w:type="dxa" w:w="1584"/>
            <w:shd w:fill="FFFFFF"/>
            <w:tcMar>
              <w:top w:w="100" w:type="dxa"/>
              <w:bottom w:w="100" w:type="dxa"/>
              <w:left w:w="160" w:type="dxa"/>
              <w:right w:w="160" w:type="dxa"/>
            </w:tcMar>
          </w:tcPr>
          <w:p>
            <w:pPr>
              <w:jc w:val="left"/>
            </w:pPr>
            <w:r>
              <w:rPr>
                <w:rFonts w:ascii="Calibri" w:hAnsi="Calibri"/>
                <w:color w:val="282C29"/>
                <w:sz w:val="18"/>
              </w:rPr>
              <w:t>($266,584)</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EBITDA</w:t>
            </w:r>
          </w:p>
        </w:tc>
        <w:tc>
          <w:tcPr>
            <w:tcW w:type="dxa" w:w="1584"/>
            <w:shd w:fill="FAF8F5"/>
            <w:tcMar>
              <w:top w:w="100" w:type="dxa"/>
              <w:bottom w:w="100" w:type="dxa"/>
              <w:left w:w="160" w:type="dxa"/>
              <w:right w:w="160" w:type="dxa"/>
            </w:tcMar>
          </w:tcPr>
          <w:p>
            <w:pPr>
              <w:jc w:val="left"/>
            </w:pPr>
            <w:r>
              <w:rPr>
                <w:rFonts w:ascii="Calibri" w:hAnsi="Calibri"/>
                <w:color w:val="282C29"/>
                <w:sz w:val="18"/>
              </w:rPr>
              <w:t>$223,695</w:t>
            </w:r>
          </w:p>
        </w:tc>
        <w:tc>
          <w:tcPr>
            <w:tcW w:type="dxa" w:w="1584"/>
            <w:shd w:fill="FAF8F5"/>
            <w:tcMar>
              <w:top w:w="100" w:type="dxa"/>
              <w:bottom w:w="100" w:type="dxa"/>
              <w:left w:w="160" w:type="dxa"/>
              <w:right w:w="160" w:type="dxa"/>
            </w:tcMar>
          </w:tcPr>
          <w:p>
            <w:pPr>
              <w:jc w:val="left"/>
            </w:pPr>
            <w:r>
              <w:rPr>
                <w:rFonts w:ascii="Calibri" w:hAnsi="Calibri"/>
                <w:color w:val="282C29"/>
                <w:sz w:val="18"/>
              </w:rPr>
              <w:t>$523,003</w:t>
            </w:r>
          </w:p>
        </w:tc>
        <w:tc>
          <w:tcPr>
            <w:tcW w:type="dxa" w:w="1584"/>
            <w:shd w:fill="FAF8F5"/>
            <w:tcMar>
              <w:top w:w="100" w:type="dxa"/>
              <w:bottom w:w="100" w:type="dxa"/>
              <w:left w:w="160" w:type="dxa"/>
              <w:right w:w="160" w:type="dxa"/>
            </w:tcMar>
          </w:tcPr>
          <w:p>
            <w:pPr>
              <w:jc w:val="left"/>
            </w:pPr>
            <w:r>
              <w:rPr>
                <w:rFonts w:ascii="Calibri" w:hAnsi="Calibri"/>
                <w:color w:val="282C29"/>
                <w:sz w:val="18"/>
              </w:rPr>
              <w:t>$841,836</w:t>
            </w:r>
          </w:p>
        </w:tc>
        <w:tc>
          <w:tcPr>
            <w:tcW w:type="dxa" w:w="1584"/>
            <w:shd w:fill="FAF8F5"/>
            <w:tcMar>
              <w:top w:w="100" w:type="dxa"/>
              <w:bottom w:w="100" w:type="dxa"/>
              <w:left w:w="160" w:type="dxa"/>
              <w:right w:w="160" w:type="dxa"/>
            </w:tcMar>
          </w:tcPr>
          <w:p>
            <w:pPr>
              <w:jc w:val="left"/>
            </w:pPr>
            <w:r>
              <w:rPr>
                <w:rFonts w:ascii="Calibri" w:hAnsi="Calibri"/>
                <w:color w:val="282C29"/>
                <w:sz w:val="18"/>
              </w:rPr>
              <w:t>$1,066,338</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EBITDA Margin (%)</w:t>
            </w:r>
          </w:p>
        </w:tc>
        <w:tc>
          <w:tcPr>
            <w:tcW w:type="dxa" w:w="1584"/>
            <w:shd w:fill="FFFFFF"/>
            <w:tcMar>
              <w:top w:w="100" w:type="dxa"/>
              <w:bottom w:w="100" w:type="dxa"/>
              <w:left w:w="160" w:type="dxa"/>
              <w:right w:w="160" w:type="dxa"/>
            </w:tcMar>
          </w:tcPr>
          <w:p>
            <w:pPr>
              <w:jc w:val="left"/>
            </w:pPr>
            <w:r>
              <w:rPr>
                <w:rFonts w:ascii="Calibri" w:hAnsi="Calibri"/>
                <w:color w:val="282C29"/>
                <w:sz w:val="18"/>
              </w:rPr>
              <w:t>24.0%</w:t>
            </w:r>
          </w:p>
        </w:tc>
        <w:tc>
          <w:tcPr>
            <w:tcW w:type="dxa" w:w="1584"/>
            <w:shd w:fill="FFFFFF"/>
            <w:tcMar>
              <w:top w:w="100" w:type="dxa"/>
              <w:bottom w:w="100" w:type="dxa"/>
              <w:left w:w="160" w:type="dxa"/>
              <w:right w:w="160" w:type="dxa"/>
            </w:tcMar>
          </w:tcPr>
          <w:p>
            <w:pPr>
              <w:jc w:val="left"/>
            </w:pPr>
            <w:r>
              <w:rPr>
                <w:rFonts w:ascii="Calibri" w:hAnsi="Calibri"/>
                <w:color w:val="282C29"/>
                <w:sz w:val="18"/>
              </w:rPr>
              <w:t>28.0%</w:t>
            </w:r>
          </w:p>
        </w:tc>
        <w:tc>
          <w:tcPr>
            <w:tcW w:type="dxa" w:w="1584"/>
            <w:shd w:fill="FFFFFF"/>
            <w:tcMar>
              <w:top w:w="100" w:type="dxa"/>
              <w:bottom w:w="100" w:type="dxa"/>
              <w:left w:w="160" w:type="dxa"/>
              <w:right w:w="160" w:type="dxa"/>
            </w:tcMar>
          </w:tcPr>
          <w:p>
            <w:pPr>
              <w:jc w:val="left"/>
            </w:pPr>
            <w:r>
              <w:rPr>
                <w:rFonts w:ascii="Calibri" w:hAnsi="Calibri"/>
                <w:color w:val="282C29"/>
                <w:sz w:val="18"/>
              </w:rPr>
              <w:t>31.0%</w:t>
            </w:r>
          </w:p>
        </w:tc>
        <w:tc>
          <w:tcPr>
            <w:tcW w:type="dxa" w:w="1584"/>
            <w:shd w:fill="FFFFFF"/>
            <w:tcMar>
              <w:top w:w="100" w:type="dxa"/>
              <w:bottom w:w="100" w:type="dxa"/>
              <w:left w:w="160" w:type="dxa"/>
              <w:right w:w="160" w:type="dxa"/>
            </w:tcMar>
          </w:tcPr>
          <w:p>
            <w:pPr>
              <w:jc w:val="left"/>
            </w:pPr>
            <w:r>
              <w:rPr>
                <w:rFonts w:ascii="Calibri" w:hAnsi="Calibri"/>
                <w:color w:val="282C29"/>
                <w:sz w:val="18"/>
              </w:rPr>
              <w:t>32.0%</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Illustrative Unlevered Project IRR</w:t>
            </w:r>
          </w:p>
        </w:tc>
        <w:tc>
          <w:tcPr>
            <w:tcW w:type="dxa" w:w="1584"/>
            <w:shd w:fill="FAF8F5"/>
            <w:tcMar>
              <w:top w:w="100" w:type="dxa"/>
              <w:bottom w:w="100" w:type="dxa"/>
              <w:left w:w="160" w:type="dxa"/>
              <w:right w:w="160" w:type="dxa"/>
            </w:tcMar>
          </w:tcPr>
          <w:p>
            <w:pPr>
              <w:jc w:val="left"/>
            </w:pPr>
            <w:r>
              <w:rPr>
                <w:rFonts w:ascii="Calibri" w:hAnsi="Calibri"/>
                <w:color w:val="282C29"/>
                <w:sz w:val="18"/>
              </w:rPr>
              <w:t>—</w:t>
            </w:r>
          </w:p>
        </w:tc>
        <w:tc>
          <w:tcPr>
            <w:tcW w:type="dxa" w:w="1584"/>
            <w:shd w:fill="FAF8F5"/>
            <w:tcMar>
              <w:top w:w="100" w:type="dxa"/>
              <w:bottom w:w="100" w:type="dxa"/>
              <w:left w:w="160" w:type="dxa"/>
              <w:right w:w="160" w:type="dxa"/>
            </w:tcMar>
          </w:tcPr>
          <w:p>
            <w:pPr>
              <w:jc w:val="left"/>
            </w:pPr>
            <w:r>
              <w:rPr>
                <w:rFonts w:ascii="Calibri" w:hAnsi="Calibri"/>
                <w:color w:val="282C29"/>
                <w:sz w:val="18"/>
              </w:rPr>
              <w:t>—</w:t>
            </w:r>
          </w:p>
        </w:tc>
        <w:tc>
          <w:tcPr>
            <w:tcW w:type="dxa" w:w="1584"/>
            <w:shd w:fill="FAF8F5"/>
            <w:tcMar>
              <w:top w:w="100" w:type="dxa"/>
              <w:bottom w:w="100" w:type="dxa"/>
              <w:left w:w="160" w:type="dxa"/>
              <w:right w:w="160" w:type="dxa"/>
            </w:tcMar>
          </w:tcPr>
          <w:p>
            <w:pPr>
              <w:jc w:val="left"/>
            </w:pPr>
            <w:r>
              <w:rPr>
                <w:rFonts w:ascii="Calibri" w:hAnsi="Calibri"/>
                <w:color w:val="282C29"/>
                <w:sz w:val="18"/>
              </w:rPr>
              <w:t>—</w:t>
            </w:r>
          </w:p>
        </w:tc>
        <w:tc>
          <w:tcPr>
            <w:tcW w:type="dxa" w:w="1584"/>
            <w:shd w:fill="FAF8F5"/>
            <w:tcMar>
              <w:top w:w="100" w:type="dxa"/>
              <w:bottom w:w="100" w:type="dxa"/>
              <w:left w:w="160" w:type="dxa"/>
              <w:right w:w="160" w:type="dxa"/>
            </w:tcMar>
          </w:tcPr>
          <w:p>
            <w:pPr>
              <w:jc w:val="left"/>
            </w:pPr>
            <w:r>
              <w:rPr>
                <w:rFonts w:ascii="Calibri" w:hAnsi="Calibri"/>
                <w:color w:val="282C29"/>
                <w:sz w:val="18"/>
              </w:rPr>
              <w:t>14.8%</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Equity Multiple (MOIC)</w:t>
            </w:r>
          </w:p>
        </w:tc>
        <w:tc>
          <w:tcPr>
            <w:tcW w:type="dxa" w:w="1584"/>
            <w:shd w:fill="FFFFFF"/>
            <w:tcMar>
              <w:top w:w="100" w:type="dxa"/>
              <w:bottom w:w="100" w:type="dxa"/>
              <w:left w:w="160" w:type="dxa"/>
              <w:right w:w="160" w:type="dxa"/>
            </w:tcMar>
          </w:tcPr>
          <w:p>
            <w:pPr>
              <w:jc w:val="left"/>
            </w:pPr>
            <w:r>
              <w:rPr>
                <w:rFonts w:ascii="Calibri" w:hAnsi="Calibri"/>
                <w:color w:val="282C29"/>
                <w:sz w:val="18"/>
              </w:rPr>
              <w:t>—</w:t>
            </w:r>
          </w:p>
        </w:tc>
        <w:tc>
          <w:tcPr>
            <w:tcW w:type="dxa" w:w="1584"/>
            <w:shd w:fill="FFFFFF"/>
            <w:tcMar>
              <w:top w:w="100" w:type="dxa"/>
              <w:bottom w:w="100" w:type="dxa"/>
              <w:left w:w="160" w:type="dxa"/>
              <w:right w:w="160" w:type="dxa"/>
            </w:tcMar>
          </w:tcPr>
          <w:p>
            <w:pPr>
              <w:jc w:val="left"/>
            </w:pPr>
            <w:r>
              <w:rPr>
                <w:rFonts w:ascii="Calibri" w:hAnsi="Calibri"/>
                <w:color w:val="282C29"/>
                <w:sz w:val="18"/>
              </w:rPr>
              <w:t>—</w:t>
            </w:r>
          </w:p>
        </w:tc>
        <w:tc>
          <w:tcPr>
            <w:tcW w:type="dxa" w:w="1584"/>
            <w:shd w:fill="FFFFFF"/>
            <w:tcMar>
              <w:top w:w="100" w:type="dxa"/>
              <w:bottom w:w="100" w:type="dxa"/>
              <w:left w:w="160" w:type="dxa"/>
              <w:right w:w="160" w:type="dxa"/>
            </w:tcMar>
          </w:tcPr>
          <w:p>
            <w:pPr>
              <w:jc w:val="left"/>
            </w:pPr>
            <w:r>
              <w:rPr>
                <w:rFonts w:ascii="Calibri" w:hAnsi="Calibri"/>
                <w:color w:val="282C29"/>
                <w:sz w:val="18"/>
              </w:rPr>
              <w:t>—</w:t>
            </w:r>
          </w:p>
        </w:tc>
        <w:tc>
          <w:tcPr>
            <w:tcW w:type="dxa" w:w="1584"/>
            <w:shd w:fill="FFFFFF"/>
            <w:tcMar>
              <w:top w:w="100" w:type="dxa"/>
              <w:bottom w:w="100" w:type="dxa"/>
              <w:left w:w="160" w:type="dxa"/>
              <w:right w:w="160" w:type="dxa"/>
            </w:tcMar>
          </w:tcPr>
          <w:p>
            <w:pPr>
              <w:jc w:val="left"/>
            </w:pPr>
            <w:r>
              <w:rPr>
                <w:rFonts w:ascii="Calibri" w:hAnsi="Calibri"/>
                <w:color w:val="282C29"/>
                <w:sz w:val="18"/>
              </w:rPr>
              <w:t>2.85x</w:t>
            </w:r>
          </w:p>
        </w:tc>
      </w:tr>
    </w:tbl>
    <w:p>
      <w:pPr>
        <w:spacing w:before="80" w:after="160"/>
      </w:pPr>
    </w:p>
    <w:p>
      <w:pPr>
        <w:keepNext/>
        <w:spacing w:before="320" w:after="120"/>
      </w:pPr>
      <w:r>
        <w:rPr>
          <w:rFonts w:ascii="Georgia" w:hAnsi="Georgia"/>
          <w:b/>
          <w:color w:val="19382D"/>
          <w:sz w:val="28"/>
        </w:rPr>
        <w:t>7. Comprehensive Institutional Risk Matrix</w:t>
      </w:r>
    </w:p>
    <w:p>
      <w:pPr>
        <w:spacing w:before="40" w:after="120" w:line="276" w:lineRule="auto"/>
      </w:pPr>
      <w:r>
        <w:rPr>
          <w:rFonts w:ascii="Calibri" w:hAnsi="Calibri"/>
          <w:color w:val="282C29"/>
          <w:sz w:val="20"/>
        </w:rPr>
        <w:t>Institutional diligence requires rigorous identification and proactive mitigation of execution, commercial, and operational risks: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160"/>
            <w:shd w:fill="19382D"/>
            <w:tcMar>
              <w:top w:w="140" w:type="dxa"/>
              <w:bottom w:w="140" w:type="dxa"/>
              <w:left w:w="180" w:type="dxa"/>
              <w:right w:w="180" w:type="dxa"/>
            </w:tcMar>
          </w:tcPr>
          <w:p>
            <w:pPr>
              <w:jc w:val="left"/>
            </w:pPr>
            <w:r>
              <w:rPr>
                <w:rFonts w:ascii="Calibri" w:hAnsi="Calibri"/>
                <w:b/>
                <w:color w:val="F7F4EC"/>
                <w:sz w:val="19"/>
              </w:rPr>
              <w:t>Risk Category</w:t>
            </w:r>
          </w:p>
        </w:tc>
        <w:tc>
          <w:tcPr>
            <w:tcW w:type="dxa" w:w="2592"/>
            <w:shd w:fill="19382D"/>
            <w:tcMar>
              <w:top w:w="140" w:type="dxa"/>
              <w:bottom w:w="140" w:type="dxa"/>
              <w:left w:w="180" w:type="dxa"/>
              <w:right w:w="180" w:type="dxa"/>
            </w:tcMar>
          </w:tcPr>
          <w:p>
            <w:pPr>
              <w:jc w:val="left"/>
            </w:pPr>
            <w:r>
              <w:rPr>
                <w:rFonts w:ascii="Calibri" w:hAnsi="Calibri"/>
                <w:b/>
                <w:color w:val="F7F4EC"/>
                <w:sz w:val="19"/>
              </w:rPr>
              <w:t>Specific Risk Description</w:t>
            </w:r>
          </w:p>
        </w:tc>
        <w:tc>
          <w:tcPr>
            <w:tcW w:type="dxa" w:w="1152"/>
            <w:shd w:fill="19382D"/>
            <w:tcMar>
              <w:top w:w="140" w:type="dxa"/>
              <w:bottom w:w="140" w:type="dxa"/>
              <w:left w:w="180" w:type="dxa"/>
              <w:right w:w="180" w:type="dxa"/>
            </w:tcMar>
          </w:tcPr>
          <w:p>
            <w:pPr>
              <w:jc w:val="left"/>
            </w:pPr>
            <w:r>
              <w:rPr>
                <w:rFonts w:ascii="Calibri" w:hAnsi="Calibri"/>
                <w:b/>
                <w:color w:val="F7F4EC"/>
                <w:sz w:val="19"/>
              </w:rPr>
              <w:t>Impact</w:t>
            </w:r>
          </w:p>
        </w:tc>
        <w:tc>
          <w:tcPr>
            <w:tcW w:type="dxa" w:w="4176"/>
            <w:shd w:fill="19382D"/>
            <w:tcMar>
              <w:top w:w="140" w:type="dxa"/>
              <w:bottom w:w="140" w:type="dxa"/>
              <w:left w:w="180" w:type="dxa"/>
              <w:right w:w="180" w:type="dxa"/>
            </w:tcMar>
          </w:tcPr>
          <w:p>
            <w:pPr>
              <w:jc w:val="left"/>
            </w:pPr>
            <w:r>
              <w:rPr>
                <w:rFonts w:ascii="Calibri" w:hAnsi="Calibri"/>
                <w:b/>
                <w:color w:val="F7F4EC"/>
                <w:sz w:val="19"/>
              </w:rPr>
              <w:t>Institutional Mitigation Strategy</w:t>
            </w:r>
          </w:p>
        </w:tc>
      </w:tr>
      <w:tr>
        <w:tc>
          <w:tcPr>
            <w:tcW w:type="dxa" w:w="2160"/>
            <w:shd w:fill="FFFFFF"/>
            <w:tcMar>
              <w:top w:w="100" w:type="dxa"/>
              <w:bottom w:w="100" w:type="dxa"/>
              <w:left w:w="160" w:type="dxa"/>
              <w:right w:w="160" w:type="dxa"/>
            </w:tcMar>
          </w:tcPr>
          <w:p>
            <w:pPr>
              <w:jc w:val="left"/>
            </w:pPr>
            <w:r>
              <w:rPr>
                <w:rFonts w:ascii="Calibri" w:hAnsi="Calibri"/>
                <w:color w:val="282C29"/>
                <w:sz w:val="18"/>
              </w:rPr>
              <w:t>Land Tenure &amp; Assembly</w:t>
            </w:r>
          </w:p>
        </w:tc>
        <w:tc>
          <w:tcPr>
            <w:tcW w:type="dxa" w:w="2592"/>
            <w:shd w:fill="FFFFFF"/>
            <w:tcMar>
              <w:top w:w="100" w:type="dxa"/>
              <w:bottom w:w="100" w:type="dxa"/>
              <w:left w:w="160" w:type="dxa"/>
              <w:right w:w="160" w:type="dxa"/>
            </w:tcMar>
          </w:tcPr>
          <w:p>
            <w:pPr>
              <w:jc w:val="left"/>
            </w:pPr>
            <w:r>
              <w:rPr>
                <w:rFonts w:ascii="Calibri" w:hAnsi="Calibri"/>
                <w:color w:val="282C29"/>
                <w:sz w:val="18"/>
              </w:rPr>
              <w:t>Delay or price inflation in ~7 ha acquisition.</w:t>
            </w:r>
          </w:p>
        </w:tc>
        <w:tc>
          <w:tcPr>
            <w:tcW w:type="dxa" w:w="1152"/>
            <w:shd w:fill="FFFFFF"/>
            <w:tcMar>
              <w:top w:w="100" w:type="dxa"/>
              <w:bottom w:w="100" w:type="dxa"/>
              <w:left w:w="160" w:type="dxa"/>
              <w:right w:w="160" w:type="dxa"/>
            </w:tcMar>
          </w:tcPr>
          <w:p>
            <w:pPr>
              <w:jc w:val="left"/>
            </w:pPr>
            <w:r>
              <w:rPr>
                <w:rFonts w:ascii="Calibri" w:hAnsi="Calibri"/>
                <w:color w:val="282C29"/>
                <w:sz w:val="18"/>
              </w:rPr>
              <w:t>Medium</w:t>
            </w:r>
          </w:p>
        </w:tc>
        <w:tc>
          <w:tcPr>
            <w:tcW w:type="dxa" w:w="4176"/>
            <w:shd w:fill="FFFFFF"/>
            <w:tcMar>
              <w:top w:w="100" w:type="dxa"/>
              <w:bottom w:w="100" w:type="dxa"/>
              <w:left w:w="160" w:type="dxa"/>
              <w:right w:w="160" w:type="dxa"/>
            </w:tcMar>
          </w:tcPr>
          <w:p>
            <w:pPr>
              <w:jc w:val="left"/>
            </w:pPr>
            <w:r>
              <w:rPr>
                <w:rFonts w:ascii="Calibri" w:hAnsi="Calibri"/>
                <w:color w:val="282C29"/>
                <w:sz w:val="18"/>
              </w:rPr>
              <w:t>8 ha already owned allows standalone development; acquisition funds held in escrow subject to valuation cap.</w:t>
            </w:r>
          </w:p>
        </w:tc>
      </w:tr>
      <w:tr>
        <w:tc>
          <w:tcPr>
            <w:tcW w:type="dxa" w:w="2160"/>
            <w:shd w:fill="FAF8F5"/>
            <w:tcMar>
              <w:top w:w="100" w:type="dxa"/>
              <w:bottom w:w="100" w:type="dxa"/>
              <w:left w:w="160" w:type="dxa"/>
              <w:right w:w="160" w:type="dxa"/>
            </w:tcMar>
          </w:tcPr>
          <w:p>
            <w:pPr>
              <w:jc w:val="left"/>
            </w:pPr>
            <w:r>
              <w:rPr>
                <w:rFonts w:ascii="Calibri" w:hAnsi="Calibri"/>
                <w:color w:val="282C29"/>
                <w:sz w:val="18"/>
              </w:rPr>
              <w:t>Water Security</w:t>
            </w:r>
          </w:p>
        </w:tc>
        <w:tc>
          <w:tcPr>
            <w:tcW w:type="dxa" w:w="2592"/>
            <w:shd w:fill="FAF8F5"/>
            <w:tcMar>
              <w:top w:w="100" w:type="dxa"/>
              <w:bottom w:w="100" w:type="dxa"/>
              <w:left w:w="160" w:type="dxa"/>
              <w:right w:w="160" w:type="dxa"/>
            </w:tcMar>
          </w:tcPr>
          <w:p>
            <w:pPr>
              <w:jc w:val="left"/>
            </w:pPr>
            <w:r>
              <w:rPr>
                <w:rFonts w:ascii="Calibri" w:hAnsi="Calibri"/>
                <w:color w:val="282C29"/>
                <w:sz w:val="18"/>
              </w:rPr>
              <w:t>Prolonged regional drought affecting supply.</w:t>
            </w:r>
          </w:p>
        </w:tc>
        <w:tc>
          <w:tcPr>
            <w:tcW w:type="dxa" w:w="1152"/>
            <w:shd w:fill="FAF8F5"/>
            <w:tcMar>
              <w:top w:w="100" w:type="dxa"/>
              <w:bottom w:w="100" w:type="dxa"/>
              <w:left w:w="160" w:type="dxa"/>
              <w:right w:w="160" w:type="dxa"/>
            </w:tcMar>
          </w:tcPr>
          <w:p>
            <w:pPr>
              <w:jc w:val="left"/>
            </w:pPr>
            <w:r>
              <w:rPr>
                <w:rFonts w:ascii="Calibri" w:hAnsi="Calibri"/>
                <w:color w:val="282C29"/>
                <w:sz w:val="18"/>
              </w:rPr>
              <w:t>High</w:t>
            </w:r>
          </w:p>
        </w:tc>
        <w:tc>
          <w:tcPr>
            <w:tcW w:type="dxa" w:w="4176"/>
            <w:shd w:fill="FAF8F5"/>
            <w:tcMar>
              <w:top w:w="100" w:type="dxa"/>
              <w:bottom w:w="100" w:type="dxa"/>
              <w:left w:w="160" w:type="dxa"/>
              <w:right w:w="160" w:type="dxa"/>
            </w:tcMar>
          </w:tcPr>
          <w:p>
            <w:pPr>
              <w:jc w:val="left"/>
            </w:pPr>
            <w:r>
              <w:rPr>
                <w:rFonts w:ascii="Calibri" w:hAnsi="Calibri"/>
                <w:color w:val="282C29"/>
                <w:sz w:val="18"/>
              </w:rPr>
              <w:t>Hydrogeological survey confirms deep aquifer; 200,000L storage buffer + greywater reed-beds provide 45 days backup.</w:t>
            </w:r>
          </w:p>
        </w:tc>
      </w:tr>
      <w:tr>
        <w:tc>
          <w:tcPr>
            <w:tcW w:type="dxa" w:w="2160"/>
            <w:shd w:fill="FFFFFF"/>
            <w:tcMar>
              <w:top w:w="100" w:type="dxa"/>
              <w:bottom w:w="100" w:type="dxa"/>
              <w:left w:w="160" w:type="dxa"/>
              <w:right w:w="160" w:type="dxa"/>
            </w:tcMar>
          </w:tcPr>
          <w:p>
            <w:pPr>
              <w:jc w:val="left"/>
            </w:pPr>
            <w:r>
              <w:rPr>
                <w:rFonts w:ascii="Calibri" w:hAnsi="Calibri"/>
                <w:color w:val="282C29"/>
                <w:sz w:val="18"/>
              </w:rPr>
              <w:t>Permitting &amp; Regulatory</w:t>
            </w:r>
          </w:p>
        </w:tc>
        <w:tc>
          <w:tcPr>
            <w:tcW w:type="dxa" w:w="2592"/>
            <w:shd w:fill="FFFFFF"/>
            <w:tcMar>
              <w:top w:w="100" w:type="dxa"/>
              <w:bottom w:w="100" w:type="dxa"/>
              <w:left w:w="160" w:type="dxa"/>
              <w:right w:w="160" w:type="dxa"/>
            </w:tcMar>
          </w:tcPr>
          <w:p>
            <w:pPr>
              <w:jc w:val="left"/>
            </w:pPr>
            <w:r>
              <w:rPr>
                <w:rFonts w:ascii="Calibri" w:hAnsi="Calibri"/>
                <w:color w:val="282C29"/>
                <w:sz w:val="18"/>
              </w:rPr>
              <w:t>Delays in NEMA EIA or county change-of-user.</w:t>
            </w:r>
          </w:p>
        </w:tc>
        <w:tc>
          <w:tcPr>
            <w:tcW w:type="dxa" w:w="1152"/>
            <w:shd w:fill="FFFFFF"/>
            <w:tcMar>
              <w:top w:w="100" w:type="dxa"/>
              <w:bottom w:w="100" w:type="dxa"/>
              <w:left w:w="160" w:type="dxa"/>
              <w:right w:w="160" w:type="dxa"/>
            </w:tcMar>
          </w:tcPr>
          <w:p>
            <w:pPr>
              <w:jc w:val="left"/>
            </w:pPr>
            <w:r>
              <w:rPr>
                <w:rFonts w:ascii="Calibri" w:hAnsi="Calibri"/>
                <w:color w:val="282C29"/>
                <w:sz w:val="18"/>
              </w:rPr>
              <w:t>Medium</w:t>
            </w:r>
          </w:p>
        </w:tc>
        <w:tc>
          <w:tcPr>
            <w:tcW w:type="dxa" w:w="4176"/>
            <w:shd w:fill="FFFFFF"/>
            <w:tcMar>
              <w:top w:w="100" w:type="dxa"/>
              <w:bottom w:w="100" w:type="dxa"/>
              <w:left w:w="160" w:type="dxa"/>
              <w:right w:w="160" w:type="dxa"/>
            </w:tcMar>
          </w:tcPr>
          <w:p>
            <w:pPr>
              <w:jc w:val="left"/>
            </w:pPr>
            <w:r>
              <w:rPr>
                <w:rFonts w:ascii="Calibri" w:hAnsi="Calibri"/>
                <w:color w:val="282C29"/>
                <w:sz w:val="18"/>
              </w:rPr>
              <w:t>Local planning team retained; pre-consultation initiated; low-impact eco-design aligns with county green policy.</w:t>
            </w:r>
          </w:p>
        </w:tc>
      </w:tr>
      <w:tr>
        <w:tc>
          <w:tcPr>
            <w:tcW w:type="dxa" w:w="2160"/>
            <w:shd w:fill="FAF8F5"/>
            <w:tcMar>
              <w:top w:w="100" w:type="dxa"/>
              <w:bottom w:w="100" w:type="dxa"/>
              <w:left w:w="160" w:type="dxa"/>
              <w:right w:w="160" w:type="dxa"/>
            </w:tcMar>
          </w:tcPr>
          <w:p>
            <w:pPr>
              <w:jc w:val="left"/>
            </w:pPr>
            <w:r>
              <w:rPr>
                <w:rFonts w:ascii="Calibri" w:hAnsi="Calibri"/>
                <w:color w:val="282C29"/>
                <w:sz w:val="18"/>
              </w:rPr>
              <w:t>Construction Cost Overrun</w:t>
            </w:r>
          </w:p>
        </w:tc>
        <w:tc>
          <w:tcPr>
            <w:tcW w:type="dxa" w:w="2592"/>
            <w:shd w:fill="FAF8F5"/>
            <w:tcMar>
              <w:top w:w="100" w:type="dxa"/>
              <w:bottom w:w="100" w:type="dxa"/>
              <w:left w:w="160" w:type="dxa"/>
              <w:right w:w="160" w:type="dxa"/>
            </w:tcMar>
          </w:tcPr>
          <w:p>
            <w:pPr>
              <w:jc w:val="left"/>
            </w:pPr>
            <w:r>
              <w:rPr>
                <w:rFonts w:ascii="Calibri" w:hAnsi="Calibri"/>
                <w:color w:val="282C29"/>
                <w:sz w:val="18"/>
              </w:rPr>
              <w:t>Inflation in building materials or remote logistics.</w:t>
            </w:r>
          </w:p>
        </w:tc>
        <w:tc>
          <w:tcPr>
            <w:tcW w:type="dxa" w:w="1152"/>
            <w:shd w:fill="FAF8F5"/>
            <w:tcMar>
              <w:top w:w="100" w:type="dxa"/>
              <w:bottom w:w="100" w:type="dxa"/>
              <w:left w:w="160" w:type="dxa"/>
              <w:right w:w="160" w:type="dxa"/>
            </w:tcMar>
          </w:tcPr>
          <w:p>
            <w:pPr>
              <w:jc w:val="left"/>
            </w:pPr>
            <w:r>
              <w:rPr>
                <w:rFonts w:ascii="Calibri" w:hAnsi="Calibri"/>
                <w:color w:val="282C29"/>
                <w:sz w:val="18"/>
              </w:rPr>
              <w:t>Medium</w:t>
            </w:r>
          </w:p>
        </w:tc>
        <w:tc>
          <w:tcPr>
            <w:tcW w:type="dxa" w:w="4176"/>
            <w:shd w:fill="FAF8F5"/>
            <w:tcMar>
              <w:top w:w="100" w:type="dxa"/>
              <w:bottom w:w="100" w:type="dxa"/>
              <w:left w:w="160" w:type="dxa"/>
              <w:right w:w="160" w:type="dxa"/>
            </w:tcMar>
          </w:tcPr>
          <w:p>
            <w:pPr>
              <w:jc w:val="left"/>
            </w:pPr>
            <w:r>
              <w:rPr>
                <w:rFonts w:ascii="Calibri" w:hAnsi="Calibri"/>
                <w:color w:val="282C29"/>
                <w:sz w:val="18"/>
              </w:rPr>
              <w:t>Guaranteed Maximum Price (GMP) contractor structure, local stone/timber, 10% contingency buffer.</w:t>
            </w:r>
          </w:p>
        </w:tc>
      </w:tr>
      <w:tr>
        <w:tc>
          <w:tcPr>
            <w:tcW w:type="dxa" w:w="2160"/>
            <w:shd w:fill="FFFFFF"/>
            <w:tcMar>
              <w:top w:w="100" w:type="dxa"/>
              <w:bottom w:w="100" w:type="dxa"/>
              <w:left w:w="160" w:type="dxa"/>
              <w:right w:w="160" w:type="dxa"/>
            </w:tcMar>
          </w:tcPr>
          <w:p>
            <w:pPr>
              <w:jc w:val="left"/>
            </w:pPr>
            <w:r>
              <w:rPr>
                <w:rFonts w:ascii="Calibri" w:hAnsi="Calibri"/>
                <w:color w:val="282C29"/>
                <w:sz w:val="18"/>
              </w:rPr>
              <w:t>Tourism Volatility</w:t>
            </w:r>
          </w:p>
        </w:tc>
        <w:tc>
          <w:tcPr>
            <w:tcW w:type="dxa" w:w="2592"/>
            <w:shd w:fill="FFFFFF"/>
            <w:tcMar>
              <w:top w:w="100" w:type="dxa"/>
              <w:bottom w:w="100" w:type="dxa"/>
              <w:left w:w="160" w:type="dxa"/>
              <w:right w:w="160" w:type="dxa"/>
            </w:tcMar>
          </w:tcPr>
          <w:p>
            <w:pPr>
              <w:jc w:val="left"/>
            </w:pPr>
            <w:r>
              <w:rPr>
                <w:rFonts w:ascii="Calibri" w:hAnsi="Calibri"/>
                <w:color w:val="282C29"/>
                <w:sz w:val="18"/>
              </w:rPr>
              <w:t>Macro travel disruption or geopolitical shocks.</w:t>
            </w:r>
          </w:p>
        </w:tc>
        <w:tc>
          <w:tcPr>
            <w:tcW w:type="dxa" w:w="1152"/>
            <w:shd w:fill="FFFFFF"/>
            <w:tcMar>
              <w:top w:w="100" w:type="dxa"/>
              <w:bottom w:w="100" w:type="dxa"/>
              <w:left w:w="160" w:type="dxa"/>
              <w:right w:w="160" w:type="dxa"/>
            </w:tcMar>
          </w:tcPr>
          <w:p>
            <w:pPr>
              <w:jc w:val="left"/>
            </w:pPr>
            <w:r>
              <w:rPr>
                <w:rFonts w:ascii="Calibri" w:hAnsi="Calibri"/>
                <w:color w:val="282C29"/>
                <w:sz w:val="18"/>
              </w:rPr>
              <w:t>High</w:t>
            </w:r>
          </w:p>
        </w:tc>
        <w:tc>
          <w:tcPr>
            <w:tcW w:type="dxa" w:w="4176"/>
            <w:shd w:fill="FFFFFF"/>
            <w:tcMar>
              <w:top w:w="100" w:type="dxa"/>
              <w:bottom w:w="100" w:type="dxa"/>
              <w:left w:w="160" w:type="dxa"/>
              <w:right w:w="160" w:type="dxa"/>
            </w:tcMar>
          </w:tcPr>
          <w:p>
            <w:pPr>
              <w:jc w:val="left"/>
            </w:pPr>
            <w:r>
              <w:rPr>
                <w:rFonts w:ascii="Calibri" w:hAnsi="Calibri"/>
                <w:color w:val="282C29"/>
                <w:sz w:val="18"/>
              </w:rPr>
              <w:t>Balanced revenue model: 45% domestic Nairobi corporate/wellness demand provides steady non-seasonal baseline.</w:t>
            </w:r>
          </w:p>
        </w:tc>
      </w:tr>
      <w:tr>
        <w:tc>
          <w:tcPr>
            <w:tcW w:type="dxa" w:w="2160"/>
            <w:shd w:fill="FAF8F5"/>
            <w:tcMar>
              <w:top w:w="100" w:type="dxa"/>
              <w:bottom w:w="100" w:type="dxa"/>
              <w:left w:w="160" w:type="dxa"/>
              <w:right w:w="160" w:type="dxa"/>
            </w:tcMar>
          </w:tcPr>
          <w:p>
            <w:pPr>
              <w:jc w:val="left"/>
            </w:pPr>
            <w:r>
              <w:rPr>
                <w:rFonts w:ascii="Calibri" w:hAnsi="Calibri"/>
                <w:color w:val="282C29"/>
                <w:sz w:val="18"/>
              </w:rPr>
              <w:t>Operator Execution</w:t>
            </w:r>
          </w:p>
        </w:tc>
        <w:tc>
          <w:tcPr>
            <w:tcW w:type="dxa" w:w="2592"/>
            <w:shd w:fill="FAF8F5"/>
            <w:tcMar>
              <w:top w:w="100" w:type="dxa"/>
              <w:bottom w:w="100" w:type="dxa"/>
              <w:left w:w="160" w:type="dxa"/>
              <w:right w:w="160" w:type="dxa"/>
            </w:tcMar>
          </w:tcPr>
          <w:p>
            <w:pPr>
              <w:jc w:val="left"/>
            </w:pPr>
            <w:r>
              <w:rPr>
                <w:rFonts w:ascii="Calibri" w:hAnsi="Calibri"/>
                <w:color w:val="282C29"/>
                <w:sz w:val="18"/>
              </w:rPr>
              <w:t>Substandard service quality impacting ADR/ratings.</w:t>
            </w:r>
          </w:p>
        </w:tc>
        <w:tc>
          <w:tcPr>
            <w:tcW w:type="dxa" w:w="1152"/>
            <w:shd w:fill="FAF8F5"/>
            <w:tcMar>
              <w:top w:w="100" w:type="dxa"/>
              <w:bottom w:w="100" w:type="dxa"/>
              <w:left w:w="160" w:type="dxa"/>
              <w:right w:w="160" w:type="dxa"/>
            </w:tcMar>
          </w:tcPr>
          <w:p>
            <w:pPr>
              <w:jc w:val="left"/>
            </w:pPr>
            <w:r>
              <w:rPr>
                <w:rFonts w:ascii="Calibri" w:hAnsi="Calibri"/>
                <w:color w:val="282C29"/>
                <w:sz w:val="18"/>
              </w:rPr>
              <w:t>Medium</w:t>
            </w:r>
          </w:p>
        </w:tc>
        <w:tc>
          <w:tcPr>
            <w:tcW w:type="dxa" w:w="4176"/>
            <w:shd w:fill="FAF8F5"/>
            <w:tcMar>
              <w:top w:w="100" w:type="dxa"/>
              <w:bottom w:w="100" w:type="dxa"/>
              <w:left w:w="160" w:type="dxa"/>
              <w:right w:w="160" w:type="dxa"/>
            </w:tcMar>
          </w:tcPr>
          <w:p>
            <w:pPr>
              <w:jc w:val="left"/>
            </w:pPr>
            <w:r>
              <w:rPr>
                <w:rFonts w:ascii="Calibri" w:hAnsi="Calibri"/>
                <w:color w:val="282C29"/>
                <w:sz w:val="18"/>
              </w:rPr>
              <w:t>Engaging established East African boutique hospitality management group with performance-linked incentives.</w:t>
            </w:r>
          </w:p>
        </w:tc>
      </w:tr>
      <w:tr>
        <w:tc>
          <w:tcPr>
            <w:tcW w:type="dxa" w:w="2160"/>
            <w:shd w:fill="FFFFFF"/>
            <w:tcMar>
              <w:top w:w="100" w:type="dxa"/>
              <w:bottom w:w="100" w:type="dxa"/>
              <w:left w:w="160" w:type="dxa"/>
              <w:right w:w="160" w:type="dxa"/>
            </w:tcMar>
          </w:tcPr>
          <w:p>
            <w:pPr>
              <w:jc w:val="left"/>
            </w:pPr>
            <w:r>
              <w:rPr>
                <w:rFonts w:ascii="Calibri" w:hAnsi="Calibri"/>
                <w:color w:val="282C29"/>
                <w:sz w:val="18"/>
              </w:rPr>
              <w:t>Foreign Exchange</w:t>
            </w:r>
          </w:p>
        </w:tc>
        <w:tc>
          <w:tcPr>
            <w:tcW w:type="dxa" w:w="2592"/>
            <w:shd w:fill="FFFFFF"/>
            <w:tcMar>
              <w:top w:w="100" w:type="dxa"/>
              <w:bottom w:w="100" w:type="dxa"/>
              <w:left w:w="160" w:type="dxa"/>
              <w:right w:w="160" w:type="dxa"/>
            </w:tcMar>
          </w:tcPr>
          <w:p>
            <w:pPr>
              <w:jc w:val="left"/>
            </w:pPr>
            <w:r>
              <w:rPr>
                <w:rFonts w:ascii="Calibri" w:hAnsi="Calibri"/>
                <w:color w:val="282C29"/>
                <w:sz w:val="18"/>
              </w:rPr>
              <w:t>Fluctuations between USD revenues and KES opex.</w:t>
            </w:r>
          </w:p>
        </w:tc>
        <w:tc>
          <w:tcPr>
            <w:tcW w:type="dxa" w:w="1152"/>
            <w:shd w:fill="FFFFFF"/>
            <w:tcMar>
              <w:top w:w="100" w:type="dxa"/>
              <w:bottom w:w="100" w:type="dxa"/>
              <w:left w:w="160" w:type="dxa"/>
              <w:right w:w="160" w:type="dxa"/>
            </w:tcMar>
          </w:tcPr>
          <w:p>
            <w:pPr>
              <w:jc w:val="left"/>
            </w:pPr>
            <w:r>
              <w:rPr>
                <w:rFonts w:ascii="Calibri" w:hAnsi="Calibri"/>
                <w:color w:val="282C29"/>
                <w:sz w:val="18"/>
              </w:rPr>
              <w:t>Low</w:t>
            </w:r>
          </w:p>
        </w:tc>
        <w:tc>
          <w:tcPr>
            <w:tcW w:type="dxa" w:w="4176"/>
            <w:shd w:fill="FFFFFF"/>
            <w:tcMar>
              <w:top w:w="100" w:type="dxa"/>
              <w:bottom w:w="100" w:type="dxa"/>
              <w:left w:w="160" w:type="dxa"/>
              <w:right w:w="160" w:type="dxa"/>
            </w:tcMar>
          </w:tcPr>
          <w:p>
            <w:pPr>
              <w:jc w:val="left"/>
            </w:pPr>
            <w:r>
              <w:rPr>
                <w:rFonts w:ascii="Calibri" w:hAnsi="Calibri"/>
                <w:color w:val="282C29"/>
                <w:sz w:val="18"/>
              </w:rPr>
              <w:t>Room rates pegged in USD; operational expenses in KES create natural currency hedge during local currency weakness.</w:t>
            </w:r>
          </w:p>
        </w:tc>
      </w:tr>
    </w:tbl>
    <w:p>
      <w:pPr>
        <w:spacing w:before="80" w:after="160"/>
      </w:pPr>
    </w:p>
    <w:p>
      <w:pPr>
        <w:keepNext/>
        <w:spacing w:before="320" w:after="120"/>
      </w:pPr>
      <w:r>
        <w:rPr>
          <w:rFonts w:ascii="Georgia" w:hAnsi="Georgia"/>
          <w:b/>
          <w:color w:val="19382D"/>
          <w:sz w:val="28"/>
        </w:rPr>
        <w:t>8. Governance &amp; Exit Pathways</w:t>
      </w:r>
    </w:p>
    <w:p>
      <w:pPr>
        <w:spacing w:before="40" w:after="120" w:line="276" w:lineRule="auto"/>
      </w:pPr>
      <w:r>
        <w:rPr>
          <w:rFonts w:ascii="Calibri" w:hAnsi="Calibri"/>
          <w:color w:val="282C29"/>
          <w:sz w:val="20"/>
        </w:rPr>
        <w:t>The project will be housed in a single-purpose Kenya-incorporated operating company with institutional governance, minority shareholder protections, and clear exit options at year 5–7 through strategic trade sale to regional hotel groups, secondary private equity buyout, or owner dividend recapitalization.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69696"/>
        <w:sz w:val="16"/>
      </w:rPr>
      <w:t>CONFIDENTIAL — FOR QUALIFIED INVESTOR REVIEW ONLY — SEGERA, LAIKIPIA, KENYA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88B65"/>
        <w:sz w:val="16"/>
      </w:rPr>
      <w:t>JONIK NDOVU FARM · DOC-04 · TIER 3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