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A88B65"/>
          <w:sz w:val="18"/>
        </w:rPr>
        <w:t>JONIK NDOVU FARM INVESTOR PACKAGE · TRANSACTION AND INVESTMENT PROCESS</w:t>
      </w:r>
    </w:p>
    <w:p>
      <w:pPr>
        <w:spacing w:before="40" w:after="80"/>
      </w:pPr>
      <w:r>
        <w:rPr>
          <w:rFonts w:ascii="Georgia" w:hAnsi="Georgia"/>
          <w:b/>
          <w:color w:val="19382D"/>
          <w:sz w:val="44"/>
        </w:rPr>
        <w:t>Investor Pitch Script &amp; Founder Narrative</w:t>
      </w:r>
    </w:p>
    <w:p>
      <w:pPr>
        <w:spacing w:before="0" w:after="280"/>
      </w:pPr>
      <w:r>
        <w:rPr>
          <w:rFonts w:ascii="Calibri" w:hAnsi="Calibri"/>
          <w:color w:val="646464"/>
          <w:sz w:val="21"/>
        </w:rPr>
        <w:t>10-Minute Presentation Script &amp; Anticipated Q&amp;A Talking Points</w:t>
      </w:r>
    </w:p>
    <w:tbl>
      <w:tblPr>
        <w:tblW w:type="auto" w:w="0"/>
        <w:jc w:val="center"/>
        <w:tblLayout w:type="fixed"/>
        <w:tblLook w:firstColumn="1" w:firstRow="1" w:lastColumn="0" w:lastRow="0" w:noHBand="0" w:noVBand="1" w:val="04A0"/>
      </w:tblPr>
      <w:tblGrid>
        <w:gridCol w:w="1958"/>
        <w:gridCol w:w="1958"/>
        <w:gridCol w:w="1958"/>
        <w:gridCol w:w="1958"/>
        <w:gridCol w:w="1958"/>
      </w:tblGrid>
      <w:tr>
        <w:tc>
          <w:tcPr>
            <w:tcW w:type="dxa" w:w="1872"/>
            <w:shd w:fill="19382D"/>
            <w:tcMar>
              <w:top w:w="140" w:type="dxa"/>
              <w:bottom w:w="140" w:type="dxa"/>
              <w:left w:w="180" w:type="dxa"/>
              <w:right w:w="180" w:type="dxa"/>
            </w:tcMar>
          </w:tcPr>
          <w:p>
            <w:pPr>
              <w:jc w:val="left"/>
            </w:pPr>
            <w:r>
              <w:rPr>
                <w:rFonts w:ascii="Calibri" w:hAnsi="Calibri"/>
                <w:b/>
                <w:color w:val="F7F4EC"/>
                <w:sz w:val="19"/>
              </w:rPr>
              <w:t>Document ID</w:t>
            </w:r>
          </w:p>
        </w:tc>
        <w:tc>
          <w:tcPr>
            <w:tcW w:type="dxa" w:w="1728"/>
            <w:shd w:fill="19382D"/>
            <w:tcMar>
              <w:top w:w="140" w:type="dxa"/>
              <w:bottom w:w="140" w:type="dxa"/>
              <w:left w:w="180" w:type="dxa"/>
              <w:right w:w="180" w:type="dxa"/>
            </w:tcMar>
          </w:tcPr>
          <w:p>
            <w:pPr>
              <w:jc w:val="left"/>
            </w:pPr>
            <w:r>
              <w:rPr>
                <w:rFonts w:ascii="Calibri" w:hAnsi="Calibri"/>
                <w:b/>
                <w:color w:val="F7F4EC"/>
                <w:sz w:val="19"/>
              </w:rPr>
              <w:t>Version</w:t>
            </w:r>
          </w:p>
        </w:tc>
        <w:tc>
          <w:tcPr>
            <w:tcW w:type="dxa" w:w="1872"/>
            <w:shd w:fill="19382D"/>
            <w:tcMar>
              <w:top w:w="140" w:type="dxa"/>
              <w:bottom w:w="140" w:type="dxa"/>
              <w:left w:w="180" w:type="dxa"/>
              <w:right w:w="180" w:type="dxa"/>
            </w:tcMar>
          </w:tcPr>
          <w:p>
            <w:pPr>
              <w:jc w:val="left"/>
            </w:pPr>
            <w:r>
              <w:rPr>
                <w:rFonts w:ascii="Calibri" w:hAnsi="Calibri"/>
                <w:b/>
                <w:color w:val="F7F4EC"/>
                <w:sz w:val="19"/>
              </w:rPr>
              <w:t>Date</w:t>
            </w:r>
          </w:p>
        </w:tc>
        <w:tc>
          <w:tcPr>
            <w:tcW w:type="dxa" w:w="2592"/>
            <w:shd w:fill="19382D"/>
            <w:tcMar>
              <w:top w:w="140" w:type="dxa"/>
              <w:bottom w:w="140" w:type="dxa"/>
              <w:left w:w="180" w:type="dxa"/>
              <w:right w:w="180" w:type="dxa"/>
            </w:tcMar>
          </w:tcPr>
          <w:p>
            <w:pPr>
              <w:jc w:val="left"/>
            </w:pPr>
            <w:r>
              <w:rPr>
                <w:rFonts w:ascii="Calibri" w:hAnsi="Calibri"/>
                <w:b/>
                <w:color w:val="F7F4EC"/>
                <w:sz w:val="19"/>
              </w:rPr>
              <w:t>Confidentiality Tier</w:t>
            </w:r>
          </w:p>
        </w:tc>
        <w:tc>
          <w:tcPr>
            <w:tcW w:type="dxa" w:w="1728"/>
            <w:shd w:fill="19382D"/>
            <w:tcMar>
              <w:top w:w="140" w:type="dxa"/>
              <w:bottom w:w="140" w:type="dxa"/>
              <w:left w:w="180" w:type="dxa"/>
              <w:right w:w="180" w:type="dxa"/>
            </w:tcMar>
          </w:tcPr>
          <w:p>
            <w:pPr>
              <w:jc w:val="left"/>
            </w:pPr>
            <w:r>
              <w:rPr>
                <w:rFonts w:ascii="Calibri" w:hAnsi="Calibri"/>
                <w:b/>
                <w:color w:val="F7F4EC"/>
                <w:sz w:val="19"/>
              </w:rPr>
              <w:t>Project Status</w:t>
            </w:r>
          </w:p>
        </w:tc>
      </w:tr>
      <w:tr>
        <w:tc>
          <w:tcPr>
            <w:tcW w:type="dxa" w:w="1872"/>
            <w:shd w:fill="FFFFFF"/>
            <w:tcMar>
              <w:top w:w="100" w:type="dxa"/>
              <w:bottom w:w="100" w:type="dxa"/>
              <w:left w:w="160" w:type="dxa"/>
              <w:right w:w="160" w:type="dxa"/>
            </w:tcMar>
          </w:tcPr>
          <w:p>
            <w:pPr>
              <w:jc w:val="left"/>
            </w:pPr>
            <w:r>
              <w:rPr>
                <w:rFonts w:ascii="Calibri" w:hAnsi="Calibri"/>
                <w:color w:val="282C29"/>
                <w:sz w:val="18"/>
              </w:rPr>
              <w:t>DOC-16</w:t>
            </w:r>
          </w:p>
        </w:tc>
        <w:tc>
          <w:tcPr>
            <w:tcW w:type="dxa" w:w="1728"/>
            <w:shd w:fill="FFFFFF"/>
            <w:tcMar>
              <w:top w:w="100" w:type="dxa"/>
              <w:bottom w:w="100" w:type="dxa"/>
              <w:left w:w="160" w:type="dxa"/>
              <w:right w:w="160" w:type="dxa"/>
            </w:tcMar>
          </w:tcPr>
          <w:p>
            <w:pPr>
              <w:jc w:val="left"/>
            </w:pPr>
            <w:r>
              <w:rPr>
                <w:rFonts w:ascii="Calibri" w:hAnsi="Calibri"/>
                <w:color w:val="282C29"/>
                <w:sz w:val="18"/>
              </w:rPr>
              <w:t>V3.0 Verified</w:t>
            </w:r>
          </w:p>
        </w:tc>
        <w:tc>
          <w:tcPr>
            <w:tcW w:type="dxa" w:w="1872"/>
            <w:shd w:fill="FFFFFF"/>
            <w:tcMar>
              <w:top w:w="100" w:type="dxa"/>
              <w:bottom w:w="100" w:type="dxa"/>
              <w:left w:w="160" w:type="dxa"/>
              <w:right w:w="160" w:type="dxa"/>
            </w:tcMar>
          </w:tcPr>
          <w:p>
            <w:pPr>
              <w:jc w:val="left"/>
            </w:pPr>
            <w:r>
              <w:rPr>
                <w:rFonts w:ascii="Calibri" w:hAnsi="Calibri"/>
                <w:color w:val="282C29"/>
                <w:sz w:val="18"/>
              </w:rPr>
              <w:t>October 2026</w:t>
            </w:r>
          </w:p>
        </w:tc>
        <w:tc>
          <w:tcPr>
            <w:tcW w:type="dxa" w:w="2592"/>
            <w:shd w:fill="FFFFFF"/>
            <w:tcMar>
              <w:top w:w="100" w:type="dxa"/>
              <w:bottom w:w="100" w:type="dxa"/>
              <w:left w:w="160" w:type="dxa"/>
              <w:right w:w="160" w:type="dxa"/>
            </w:tcMar>
          </w:tcPr>
          <w:p>
            <w:pPr>
              <w:jc w:val="left"/>
            </w:pPr>
            <w:r>
              <w:rPr>
                <w:rFonts w:ascii="Calibri" w:hAnsi="Calibri"/>
                <w:color w:val="282C29"/>
                <w:sz w:val="18"/>
              </w:rPr>
              <w:t>Tier 3 Approved</w:t>
            </w:r>
          </w:p>
        </w:tc>
        <w:tc>
          <w:tcPr>
            <w:tcW w:type="dxa" w:w="1728"/>
            <w:shd w:fill="FFFFFF"/>
            <w:tcMar>
              <w:top w:w="100" w:type="dxa"/>
              <w:bottom w:w="100" w:type="dxa"/>
              <w:left w:w="160" w:type="dxa"/>
              <w:right w:w="160" w:type="dxa"/>
            </w:tcMar>
          </w:tcPr>
          <w:p>
            <w:pPr>
              <w:jc w:val="left"/>
            </w:pPr>
            <w:r>
              <w:rPr>
                <w:rFonts w:ascii="Calibri" w:hAnsi="Calibri"/>
                <w:color w:val="282C29"/>
                <w:sz w:val="18"/>
              </w:rPr>
              <w:t>Active Diligence</w:t>
            </w:r>
          </w:p>
        </w:tc>
      </w:tr>
    </w:tbl>
    <w:p>
      <w:pPr>
        <w:spacing w:before="80" w:after="160"/>
      </w:pPr>
    </w:p>
    <w:tbl>
      <w:tblPr>
        <w:tblW w:type="auto" w:w="0"/>
        <w:jc w:val="center"/>
        <w:tblLayout w:type="fixed"/>
        <w:tblLook w:firstColumn="1" w:firstRow="1" w:lastColumn="0" w:lastRow="0" w:noHBand="0" w:noVBand="1" w:val="04A0"/>
      </w:tblPr>
      <w:tblGrid>
        <w:gridCol w:w="9792"/>
      </w:tblGrid>
      <w:tr>
        <w:tc>
          <w:tcPr>
            <w:tcW w:type="dxa" w:w="9792"/>
            <w:shd w:fill="F7F4EC"/>
            <w:tcMar>
              <w:top w:w="160" w:type="dxa"/>
              <w:bottom w:w="160" w:type="dxa"/>
              <w:left w:w="240" w:type="dxa"/>
              <w:right w:w="200" w:type="dxa"/>
            </w:tcMar>
            <w:tcBorders>
              <w:top w:val="none"/>
              <w:left w:val="single" w:sz="24" w:space="0" w:color="A88B65"/>
              <w:bottom w:val="none"/>
              <w:right w:val="none"/>
            </w:tcBorders>
          </w:tcPr>
          <w:p>
            <w:pPr>
              <w:spacing w:before="40" w:after="40"/>
            </w:pPr>
            <w:r>
              <w:rPr>
                <w:rFonts w:ascii="Calibri" w:hAnsi="Calibri"/>
                <w:b/>
                <w:color w:val="A88B65"/>
                <w:sz w:val="19"/>
              </w:rPr>
              <w:t>SPEAKER GUIDANCE &amp; PRESENTATION PROTOCOL</w:t>
              <w:br/>
            </w:r>
            <w:r>
              <w:rPr>
                <w:rFonts w:ascii="Georgia" w:hAnsi="Georgia"/>
                <w:i/>
                <w:color w:val="19382D"/>
                <w:sz w:val="19"/>
              </w:rPr>
              <w:t>This script provides the core spoken narrative for founder presentations to institutional investors, family offices, and strategic hospitality partners, moving through the opportunity thesis, land security, economics, and transaction terms.</w:t>
            </w:r>
          </w:p>
        </w:tc>
      </w:tr>
    </w:tbl>
    <w:p>
      <w:pPr>
        <w:spacing w:before="80" w:after="160"/>
      </w:pPr>
    </w:p>
    <w:p>
      <w:pPr>
        <w:keepNext/>
        <w:spacing w:before="240" w:after="80"/>
      </w:pPr>
      <w:r>
        <w:rPr>
          <w:rFonts w:ascii="Calibri" w:hAnsi="Calibri"/>
          <w:b/>
          <w:color w:val="282C29"/>
          <w:sz w:val="23"/>
        </w:rPr>
        <w:t>Slide 1–2: The Opening Hook (1 Minute)</w:t>
      </w:r>
    </w:p>
    <w:p>
      <w:pPr>
        <w:spacing w:before="40" w:after="120" w:line="276" w:lineRule="auto"/>
      </w:pPr>
      <w:r>
        <w:rPr>
          <w:rFonts w:ascii="Calibri" w:hAnsi="Calibri"/>
          <w:color w:val="282C29"/>
          <w:sz w:val="20"/>
        </w:rPr>
        <w:t>“Good morning. Most luxury destinations in Africa ask you to look at nature from behind glass. Jonik Ndovu Farm is building something different: a place where comfortable hospitality, authentic agriculture, food, and the African landscape form one complete destination. Critically, this is not a speculative dream searching for land: Jonik Ndovu Farm already owns the starting 8.0 hectares in Segera, Laikipia. We are here to discuss a disciplined US$2.4 million capital plan to assemble an ultimate 15-hectare footprint and build a world-class 12–15 unit boutique destination.”</w:t>
      </w:r>
    </w:p>
    <w:p>
      <w:pPr>
        <w:keepNext/>
        <w:spacing w:before="240" w:after="80"/>
      </w:pPr>
      <w:r>
        <w:rPr>
          <w:rFonts w:ascii="Calibri" w:hAnsi="Calibri"/>
          <w:b/>
          <w:color w:val="282C29"/>
          <w:sz w:val="23"/>
        </w:rPr>
        <w:t>Slide 3–4: The Problem &amp; The Market White Space (2 Minutes)</w:t>
      </w:r>
    </w:p>
    <w:p>
      <w:pPr>
        <w:spacing w:before="40" w:after="120" w:line="276" w:lineRule="auto"/>
      </w:pPr>
      <w:r>
        <w:rPr>
          <w:rFonts w:ascii="Calibri" w:hAnsi="Calibri"/>
          <w:color w:val="282C29"/>
          <w:sz w:val="20"/>
        </w:rPr>
        <w:t>“Traditional safari lodges charge $1,200 a night but suffer from crushing overheads, high carbon footprints, and total dependence on international wildlife traffic. Meanwhile, domestic Nairobi professionals and international eco-travelers are looking for restorative nature, farm-to-table food authenticity, and genuine connection. Segera sits at the heart of Laikipia's famed conservancies. By creating a destination where hospitality is the commercial engine, and permaculture provides the guest differentiation, we capture both high-yield international travelers and resilient year-round Nairobi weekenders.”</w:t>
      </w:r>
    </w:p>
    <w:p>
      <w:pPr>
        <w:keepNext/>
        <w:spacing w:before="240" w:after="80"/>
      </w:pPr>
      <w:r>
        <w:rPr>
          <w:rFonts w:ascii="Calibri" w:hAnsi="Calibri"/>
          <w:b/>
          <w:color w:val="282C29"/>
          <w:sz w:val="23"/>
        </w:rPr>
        <w:t>Slide 5–7: The Masterplan &amp; Scalable Architecture (2.5 Minutes)</w:t>
      </w:r>
    </w:p>
    <w:p>
      <w:pPr>
        <w:spacing w:before="40" w:after="120" w:line="276" w:lineRule="auto"/>
      </w:pPr>
      <w:r>
        <w:rPr>
          <w:rFonts w:ascii="Calibri" w:hAnsi="Calibri"/>
          <w:color w:val="282C29"/>
          <w:sz w:val="20"/>
        </w:rPr>
        <w:t>“Let’s look at how the 15 hectares work together. 8 hectares are owned today. 7 hectares are in negotiation to provide agricultural buffers and nature trails. Our accommodation scale is deliberately capped at 12 to 15 suites — hosting no more than 30 guests at a time. The guest spaces are completely isolated from agricultural machinery and service delivery roads. We are 100% off-grid: 60 kWp of solar PV, 120 kWh of lithium battery storage, a high-yield borehole, and complete biological reed-bed water recycling.”</w:t>
      </w:r>
    </w:p>
    <w:p>
      <w:pPr>
        <w:keepNext/>
        <w:spacing w:before="240" w:after="80"/>
      </w:pPr>
      <w:r>
        <w:rPr>
          <w:rFonts w:ascii="Calibri" w:hAnsi="Calibri"/>
          <w:b/>
          <w:color w:val="282C29"/>
          <w:sz w:val="23"/>
        </w:rPr>
        <w:t>Slide 8–10: Financial Returns &amp; Capital Disciplined (2.5 Minutes)</w:t>
      </w:r>
    </w:p>
    <w:p>
      <w:pPr>
        <w:spacing w:before="40" w:after="120" w:line="276" w:lineRule="auto"/>
      </w:pPr>
      <w:r>
        <w:rPr>
          <w:rFonts w:ascii="Calibri" w:hAnsi="Calibri"/>
          <w:color w:val="282C29"/>
          <w:sz w:val="20"/>
        </w:rPr>
        <w:t>“Our capital ask is US$2.4 million. Here is exactly where the money goes: $320k to complete the 7-hectare land purchase; $480k for complete civil works, roads, and solar-water infrastructure; $840k for 12–15 guest suites and dining lodge; $180k for permaculture and organic orchards; and the balance for FF&amp;E, permitting, and working capital. At a conservative Year 5 ADR of $440 and 52% occupancy, the destination generates $1.86 million in revenue and $523k in EBITDA. Over 10 years, this produces an unlevered project IRR of 14.8% and a 2.85x equity multiple.”</w:t>
      </w:r>
    </w:p>
    <w:p>
      <w:pPr>
        <w:keepNext/>
        <w:spacing w:before="240" w:after="80"/>
      </w:pPr>
      <w:r>
        <w:rPr>
          <w:rFonts w:ascii="Calibri" w:hAnsi="Calibri"/>
          <w:b/>
          <w:color w:val="282C29"/>
          <w:sz w:val="23"/>
        </w:rPr>
        <w:t>Slide 11–12: Transaction &amp; Close (2 Minutes)</w:t>
      </w:r>
    </w:p>
    <w:p>
      <w:pPr>
        <w:spacing w:before="40" w:after="120" w:line="276" w:lineRule="auto"/>
      </w:pPr>
      <w:r>
        <w:rPr>
          <w:rFonts w:ascii="Calibri" w:hAnsi="Calibri"/>
          <w:color w:val="282C29"/>
          <w:sz w:val="20"/>
        </w:rPr>
        <w:t>“We are offering Series A Convertible Preferred Shares with an 8% coupon during development, Board representation, and strong minority investor protections. The land is already secured. The masterplan is ready. We welcome aligned partners to join us in bringing Jonik Ndovu Farm to life.”</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69696"/>
        <w:sz w:val="16"/>
      </w:rPr>
      <w:t>CONFIDENTIAL — FOR QUALIFIED INVESTOR REVIEW ONLY — SEGERA, LAIKIPIA, KENYA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A88B65"/>
        <w:sz w:val="16"/>
      </w:rPr>
      <w:t>JONIK NDOVU FARM · DOC-16 · TIER 3 APPROVED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