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A88B65"/>
          <w:sz w:val="18"/>
        </w:rPr>
        <w:t>JONIK NDOVU FARM INVESTOR PACKAGE · TRANSACTION AND INVESTMENT PROCESS</w:t>
      </w:r>
    </w:p>
    <w:p>
      <w:pPr>
        <w:spacing w:before="40" w:after="80"/>
      </w:pPr>
      <w:r>
        <w:rPr>
          <w:rFonts w:ascii="Georgia" w:hAnsi="Georgia"/>
          <w:b/>
          <w:color w:val="19382D"/>
          <w:sz w:val="44"/>
        </w:rPr>
        <w:t>Indicative Term-Sheet Framework</w:t>
      </w:r>
    </w:p>
    <w:p>
      <w:pPr>
        <w:spacing w:before="0" w:after="280"/>
      </w:pPr>
      <w:r>
        <w:rPr>
          <w:rFonts w:ascii="Calibri" w:hAnsi="Calibri"/>
          <w:color w:val="646464"/>
          <w:sz w:val="21"/>
        </w:rPr>
        <w:t>Discussion Draft — Capital Structure, Governance, and Investor Minority Protections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72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Document ID</w:t>
            </w:r>
          </w:p>
        </w:tc>
        <w:tc>
          <w:tcPr>
            <w:tcW w:type="dxa" w:w="1728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Version</w:t>
            </w:r>
          </w:p>
        </w:tc>
        <w:tc>
          <w:tcPr>
            <w:tcW w:type="dxa" w:w="1872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Date</w:t>
            </w:r>
          </w:p>
        </w:tc>
        <w:tc>
          <w:tcPr>
            <w:tcW w:type="dxa" w:w="2592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Confidentiality Tier</w:t>
            </w:r>
          </w:p>
        </w:tc>
        <w:tc>
          <w:tcPr>
            <w:tcW w:type="dxa" w:w="1728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Project 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DOC-12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V3.0 Verified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October 2026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Active Diligence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4E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A88B65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A88B65"/>
                <w:sz w:val="19"/>
              </w:rPr>
              <w:t>TRANSACTION SUMMARY &amp; NON-BINDING STATUS</w:t>
              <w:br/>
            </w:r>
            <w:r>
              <w:rPr>
                <w:rFonts w:ascii="Georgia" w:hAnsi="Georgia"/>
                <w:i/>
                <w:color w:val="19382D"/>
                <w:sz w:val="19"/>
              </w:rPr>
              <w:t>This non-binding discussion framework outlines the proposed investment architecture for the US$2.4 million capital raise to finance the development of Jonik Ndovu Farm. Formal legal documentation (Share Subscription and Shareholders' Agreement) will be finalized following mutual diligence agreement.</w:t>
            </w:r>
          </w:p>
        </w:tc>
      </w:tr>
    </w:tbl>
    <w:p>
      <w:pPr>
        <w:spacing w:before="80" w:after="160"/>
      </w:pPr>
    </w:p>
    <w:p>
      <w:pPr>
        <w:keepNext/>
        <w:spacing w:before="320" w:after="120"/>
      </w:pPr>
      <w:r>
        <w:rPr>
          <w:rFonts w:ascii="Georgia" w:hAnsi="Georgia"/>
          <w:b/>
          <w:color w:val="19382D"/>
          <w:sz w:val="28"/>
        </w:rPr>
        <w:t>1. Key Commercial &amp; Financial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Term Parameter</w:t>
            </w:r>
          </w:p>
        </w:tc>
        <w:tc>
          <w:tcPr>
            <w:tcW w:type="dxa" w:w="6912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Summary of Indicative Terms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Issuer / Company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Jonik Ndovu Farm Limited (or project special-purpose vehicle incorporated in Kenya).</w:t>
            </w:r>
          </w:p>
        </w:tc>
      </w:tr>
      <w:tr>
        <w:tc>
          <w:tcPr>
            <w:tcW w:type="dxa" w:w="288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Target Capital Raise</w:t>
            </w:r>
          </w:p>
        </w:tc>
        <w:tc>
          <w:tcPr>
            <w:tcW w:type="dxa" w:w="691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US$2,400,000 (Two Million Four Hundred Thousand United States Dollars).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Securities Offered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Series A Convertible Preferred Shares or Senior Preferred Equity.</w:t>
            </w:r>
          </w:p>
        </w:tc>
      </w:tr>
      <w:tr>
        <w:tc>
          <w:tcPr>
            <w:tcW w:type="dxa" w:w="288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Use of Proceeds</w:t>
            </w:r>
          </w:p>
        </w:tc>
        <w:tc>
          <w:tcPr>
            <w:tcW w:type="dxa" w:w="691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Land acquisition (~7 ha), off-grid infrastructure, 12–15 guest suites, dining lodge, wellness deck, permaculture grounds, working capital.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Pre-Money Valuation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US$1,200,000 (reflecting owned 8-ha land asset, masterplan IP, surveys, and sponsor sweat equity).</w:t>
            </w:r>
          </w:p>
        </w:tc>
      </w:tr>
      <w:tr>
        <w:tc>
          <w:tcPr>
            <w:tcW w:type="dxa" w:w="288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Post-Money Valuation</w:t>
            </w:r>
          </w:p>
        </w:tc>
        <w:tc>
          <w:tcPr>
            <w:tcW w:type="dxa" w:w="691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US$3,600,000 (assuming full US$2.4M equity commitment; implying 66.7% investor ownership).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Preferred Return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8.0% cumulative preferred return accrued during construction and pre-operating phase.</w:t>
            </w:r>
          </w:p>
        </w:tc>
      </w:tr>
      <w:tr>
        <w:tc>
          <w:tcPr>
            <w:tcW w:type="dxa" w:w="288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Board Representation</w:t>
            </w:r>
          </w:p>
        </w:tc>
        <w:tc>
          <w:tcPr>
            <w:tcW w:type="dxa" w:w="691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Investors holding &gt;=20% aggregate equity entitled to appoint two (2) of five (5) Board directors.</w:t>
            </w:r>
          </w:p>
        </w:tc>
      </w:tr>
    </w:tbl>
    <w:p>
      <w:pPr>
        <w:spacing w:before="80" w:after="160"/>
      </w:pPr>
    </w:p>
    <w:p>
      <w:pPr>
        <w:keepNext/>
        <w:spacing w:before="320" w:after="120"/>
      </w:pPr>
      <w:r>
        <w:rPr>
          <w:rFonts w:ascii="Georgia" w:hAnsi="Georgia"/>
          <w:b/>
          <w:color w:val="19382D"/>
          <w:sz w:val="28"/>
        </w:rPr>
        <w:t>2. Reserved Matters Schedule (Investor Protections)</w:t>
      </w:r>
    </w:p>
    <w:p>
      <w:pPr>
        <w:spacing w:before="40" w:after="120" w:line="276" w:lineRule="auto"/>
      </w:pPr>
      <w:r>
        <w:rPr>
          <w:rFonts w:ascii="Calibri" w:hAnsi="Calibri"/>
          <w:color w:val="282C29"/>
          <w:sz w:val="20"/>
        </w:rPr>
        <w:t>The following key corporate decisions shall require the affirmative vote of at least 75% of shareholder voting rights, including the Investor Director: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Category</w:t>
            </w:r>
          </w:p>
        </w:tc>
        <w:tc>
          <w:tcPr>
            <w:tcW w:type="dxa" w:w="7200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Reserved Matter Description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Capital Structure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Any alteration to share capital, issuance of new shares, options, or debt instruments.</w:t>
            </w:r>
          </w:p>
        </w:tc>
      </w:tr>
      <w:tr>
        <w:tc>
          <w:tcPr>
            <w:tcW w:type="dxa" w:w="259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Asset Disposition</w:t>
            </w:r>
          </w:p>
        </w:tc>
        <w:tc>
          <w:tcPr>
            <w:tcW w:type="dxa" w:w="720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Sale, lease, mortgage, or encumbrance of any company real estate or major assets (&gt;US$25,000).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Annual Budget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Adoption of annual operating budget or capital expenditure plan exceeding 10% variance.</w:t>
            </w:r>
          </w:p>
        </w:tc>
      </w:tr>
      <w:tr>
        <w:tc>
          <w:tcPr>
            <w:tcW w:type="dxa" w:w="259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Indebtedness</w:t>
            </w:r>
          </w:p>
        </w:tc>
        <w:tc>
          <w:tcPr>
            <w:tcW w:type="dxa" w:w="720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Incurring third-party borrowings or financial indebtedness exceeding US$50,000 in aggregate.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Related-Party Transactions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Any contract, agreement, or transfer between the Company and founders, directors, or affiliates.</w:t>
            </w:r>
          </w:p>
        </w:tc>
      </w:tr>
      <w:tr>
        <w:tc>
          <w:tcPr>
            <w:tcW w:type="dxa" w:w="259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Dividends &amp; Distributions</w:t>
            </w:r>
          </w:p>
        </w:tc>
        <w:tc>
          <w:tcPr>
            <w:tcW w:type="dxa" w:w="720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Declaration or payment of any dividend, capital return, or redemption of shares.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Senior Management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Appointment or termination of the Managing Director, General Manager, or Chief Financial Officer.</w:t>
            </w:r>
          </w:p>
        </w:tc>
      </w:tr>
      <w:tr>
        <w:tc>
          <w:tcPr>
            <w:tcW w:type="dxa" w:w="259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Auditor Appointment</w:t>
            </w:r>
          </w:p>
        </w:tc>
        <w:tc>
          <w:tcPr>
            <w:tcW w:type="dxa" w:w="720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Appointment or change of the independent external statutory auditor (Big-4 or reputable regional).</w:t>
            </w:r>
          </w:p>
        </w:tc>
      </w:tr>
    </w:tbl>
    <w:p>
      <w:pPr>
        <w:spacing w:before="80" w:after="160"/>
      </w:pPr>
    </w:p>
    <w:p>
      <w:pPr>
        <w:keepNext/>
        <w:spacing w:before="320" w:after="120"/>
      </w:pPr>
      <w:r>
        <w:rPr>
          <w:rFonts w:ascii="Georgia" w:hAnsi="Georgia"/>
          <w:b/>
          <w:color w:val="19382D"/>
          <w:sz w:val="28"/>
        </w:rPr>
        <w:t>3. Information Covenants &amp; Reporting</w:t>
      </w:r>
    </w:p>
    <w:p>
      <w:pPr>
        <w:spacing w:before="40" w:after="120" w:line="276" w:lineRule="auto"/>
      </w:pPr>
      <w:r>
        <w:rPr>
          <w:rFonts w:ascii="Calibri" w:hAnsi="Calibri"/>
          <w:color w:val="282C29"/>
          <w:sz w:val="20"/>
        </w:rPr>
        <w:t>The Company will maintain institutional financial and operational transparency: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9382D"/>
          <w:sz w:val="20"/>
        </w:rPr>
        <w:t xml:space="preserve">Monthly KPI Flash Report: </w:t>
      </w:r>
      <w:r>
        <w:rPr>
          <w:rFonts w:ascii="Calibri" w:hAnsi="Calibri"/>
          <w:color w:val="282C29"/>
          <w:sz w:val="20"/>
        </w:rPr>
        <w:t>Delivered within 15 calendar days of month-end detailing occupancy, ADR, RevPAR, gross revenue, and payroll.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9382D"/>
          <w:sz w:val="20"/>
        </w:rPr>
        <w:t xml:space="preserve">Quarterly Unaudited Financials: </w:t>
      </w:r>
      <w:r>
        <w:rPr>
          <w:rFonts w:ascii="Calibri" w:hAnsi="Calibri"/>
          <w:color w:val="282C29"/>
          <w:sz w:val="20"/>
        </w:rPr>
        <w:t>Delivered within 30 days of quarter-end including balance sheet, income statement, and cash flow statement against budget.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9382D"/>
          <w:sz w:val="20"/>
        </w:rPr>
        <w:t xml:space="preserve">Annual Audited Financials (IFRS): </w:t>
      </w:r>
      <w:r>
        <w:rPr>
          <w:rFonts w:ascii="Calibri" w:hAnsi="Calibri"/>
          <w:color w:val="282C29"/>
          <w:sz w:val="20"/>
        </w:rPr>
        <w:t>Delivered within 90 days of fiscal year-end, audited by an independent chartered accounting firm.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9382D"/>
          <w:sz w:val="20"/>
        </w:rPr>
        <w:t xml:space="preserve">Inspection Rights: </w:t>
      </w:r>
      <w:r>
        <w:rPr>
          <w:rFonts w:ascii="Calibri" w:hAnsi="Calibri"/>
          <w:color w:val="282C29"/>
          <w:sz w:val="20"/>
        </w:rPr>
        <w:t>Investors hold customary inspection rights to examine books, records, and conduct physical site audits upon reasonable notice.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69696"/>
        <w:sz w:val="16"/>
      </w:rPr>
      <w:t>CONFIDENTIAL — FOR QUALIFIED INVESTOR REVIEW ONLY — SEGERA, LAIKIPIA, KENYA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A88B65"/>
        <w:sz w:val="16"/>
      </w:rPr>
      <w:t>JONIK NDOVU FARM · DOC-12 · TIER 3 APPROVED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