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A88B65"/>
          <w:sz w:val="18"/>
        </w:rPr>
        <w:t>JONIK NDOVU FARM INVESTOR PACKAGE · SITE AND DEVELOPMENT</w:t>
      </w:r>
    </w:p>
    <w:p>
      <w:pPr>
        <w:spacing w:before="40" w:after="80"/>
      </w:pPr>
      <w:r>
        <w:rPr>
          <w:rFonts w:ascii="Georgia" w:hAnsi="Georgia"/>
          <w:b/>
          <w:color w:val="19382D"/>
          <w:sz w:val="44"/>
        </w:rPr>
        <w:t>Conceptual Site &amp; Infrastructure Utilization Plan</w:t>
      </w:r>
    </w:p>
    <w:p>
      <w:pPr>
        <w:spacing w:before="0" w:after="280"/>
      </w:pPr>
      <w:r>
        <w:rPr>
          <w:rFonts w:ascii="Calibri" w:hAnsi="Calibri"/>
          <w:color w:val="646464"/>
          <w:sz w:val="21"/>
        </w:rPr>
        <w:t>Spatial Masterplanning, Circulation Logistics, and Off-Grid Utility Sizing Brief</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872"/>
            <w:shd w:fill="19382D"/>
            <w:tcMar>
              <w:top w:w="140" w:type="dxa"/>
              <w:bottom w:w="140" w:type="dxa"/>
              <w:left w:w="180" w:type="dxa"/>
              <w:right w:w="180" w:type="dxa"/>
            </w:tcMar>
          </w:tcPr>
          <w:p>
            <w:pPr>
              <w:jc w:val="left"/>
            </w:pPr>
            <w:r>
              <w:rPr>
                <w:rFonts w:ascii="Calibri" w:hAnsi="Calibri"/>
                <w:b/>
                <w:color w:val="F7F4EC"/>
                <w:sz w:val="19"/>
              </w:rPr>
              <w:t>Document ID</w:t>
            </w:r>
          </w:p>
        </w:tc>
        <w:tc>
          <w:tcPr>
            <w:tcW w:type="dxa" w:w="1728"/>
            <w:shd w:fill="19382D"/>
            <w:tcMar>
              <w:top w:w="140" w:type="dxa"/>
              <w:bottom w:w="140" w:type="dxa"/>
              <w:left w:w="180" w:type="dxa"/>
              <w:right w:w="180" w:type="dxa"/>
            </w:tcMar>
          </w:tcPr>
          <w:p>
            <w:pPr>
              <w:jc w:val="left"/>
            </w:pPr>
            <w:r>
              <w:rPr>
                <w:rFonts w:ascii="Calibri" w:hAnsi="Calibri"/>
                <w:b/>
                <w:color w:val="F7F4EC"/>
                <w:sz w:val="19"/>
              </w:rPr>
              <w:t>Version</w:t>
            </w:r>
          </w:p>
        </w:tc>
        <w:tc>
          <w:tcPr>
            <w:tcW w:type="dxa" w:w="1872"/>
            <w:shd w:fill="19382D"/>
            <w:tcMar>
              <w:top w:w="140" w:type="dxa"/>
              <w:bottom w:w="140" w:type="dxa"/>
              <w:left w:w="180" w:type="dxa"/>
              <w:right w:w="180" w:type="dxa"/>
            </w:tcMar>
          </w:tcPr>
          <w:p>
            <w:pPr>
              <w:jc w:val="left"/>
            </w:pPr>
            <w:r>
              <w:rPr>
                <w:rFonts w:ascii="Calibri" w:hAnsi="Calibri"/>
                <w:b/>
                <w:color w:val="F7F4EC"/>
                <w:sz w:val="19"/>
              </w:rPr>
              <w:t>Date</w:t>
            </w:r>
          </w:p>
        </w:tc>
        <w:tc>
          <w:tcPr>
            <w:tcW w:type="dxa" w:w="2592"/>
            <w:shd w:fill="19382D"/>
            <w:tcMar>
              <w:top w:w="140" w:type="dxa"/>
              <w:bottom w:w="140" w:type="dxa"/>
              <w:left w:w="180" w:type="dxa"/>
              <w:right w:w="180" w:type="dxa"/>
            </w:tcMar>
          </w:tcPr>
          <w:p>
            <w:pPr>
              <w:jc w:val="left"/>
            </w:pPr>
            <w:r>
              <w:rPr>
                <w:rFonts w:ascii="Calibri" w:hAnsi="Calibri"/>
                <w:b/>
                <w:color w:val="F7F4EC"/>
                <w:sz w:val="19"/>
              </w:rPr>
              <w:t>Confidentiality Tier</w:t>
            </w:r>
          </w:p>
        </w:tc>
        <w:tc>
          <w:tcPr>
            <w:tcW w:type="dxa" w:w="1728"/>
            <w:shd w:fill="19382D"/>
            <w:tcMar>
              <w:top w:w="140" w:type="dxa"/>
              <w:bottom w:w="140" w:type="dxa"/>
              <w:left w:w="180" w:type="dxa"/>
              <w:right w:w="180" w:type="dxa"/>
            </w:tcMar>
          </w:tcPr>
          <w:p>
            <w:pPr>
              <w:jc w:val="left"/>
            </w:pPr>
            <w:r>
              <w:rPr>
                <w:rFonts w:ascii="Calibri" w:hAnsi="Calibri"/>
                <w:b/>
                <w:color w:val="F7F4EC"/>
                <w:sz w:val="19"/>
              </w:rPr>
              <w:t>Project Status</w:t>
            </w:r>
          </w:p>
        </w:tc>
      </w:tr>
      <w:tr>
        <w:tc>
          <w:tcPr>
            <w:tcW w:type="dxa" w:w="1872"/>
            <w:shd w:fill="FFFFFF"/>
            <w:tcMar>
              <w:top w:w="100" w:type="dxa"/>
              <w:bottom w:w="100" w:type="dxa"/>
              <w:left w:w="160" w:type="dxa"/>
              <w:right w:w="160" w:type="dxa"/>
            </w:tcMar>
          </w:tcPr>
          <w:p>
            <w:pPr>
              <w:jc w:val="left"/>
            </w:pPr>
            <w:r>
              <w:rPr>
                <w:rFonts w:ascii="Calibri" w:hAnsi="Calibri"/>
                <w:color w:val="282C29"/>
                <w:sz w:val="18"/>
              </w:rPr>
              <w:t>DOC-05</w:t>
            </w:r>
          </w:p>
        </w:tc>
        <w:tc>
          <w:tcPr>
            <w:tcW w:type="dxa" w:w="1728"/>
            <w:shd w:fill="FFFFFF"/>
            <w:tcMar>
              <w:top w:w="100" w:type="dxa"/>
              <w:bottom w:w="100" w:type="dxa"/>
              <w:left w:w="160" w:type="dxa"/>
              <w:right w:w="160" w:type="dxa"/>
            </w:tcMar>
          </w:tcPr>
          <w:p>
            <w:pPr>
              <w:jc w:val="left"/>
            </w:pPr>
            <w:r>
              <w:rPr>
                <w:rFonts w:ascii="Calibri" w:hAnsi="Calibri"/>
                <w:color w:val="282C29"/>
                <w:sz w:val="18"/>
              </w:rPr>
              <w:t>V3.0 Verified</w:t>
            </w:r>
          </w:p>
        </w:tc>
        <w:tc>
          <w:tcPr>
            <w:tcW w:type="dxa" w:w="1872"/>
            <w:shd w:fill="FFFFFF"/>
            <w:tcMar>
              <w:top w:w="100" w:type="dxa"/>
              <w:bottom w:w="100" w:type="dxa"/>
              <w:left w:w="160" w:type="dxa"/>
              <w:right w:w="160" w:type="dxa"/>
            </w:tcMar>
          </w:tcPr>
          <w:p>
            <w:pPr>
              <w:jc w:val="left"/>
            </w:pPr>
            <w:r>
              <w:rPr>
                <w:rFonts w:ascii="Calibri" w:hAnsi="Calibri"/>
                <w:color w:val="282C29"/>
                <w:sz w:val="18"/>
              </w:rPr>
              <w:t>October 2026</w:t>
            </w:r>
          </w:p>
        </w:tc>
        <w:tc>
          <w:tcPr>
            <w:tcW w:type="dxa" w:w="2592"/>
            <w:shd w:fill="FFFFFF"/>
            <w:tcMar>
              <w:top w:w="100" w:type="dxa"/>
              <w:bottom w:w="100" w:type="dxa"/>
              <w:left w:w="160" w:type="dxa"/>
              <w:right w:w="160" w:type="dxa"/>
            </w:tcMar>
          </w:tcPr>
          <w:p>
            <w:pPr>
              <w:jc w:val="left"/>
            </w:pPr>
            <w:r>
              <w:rPr>
                <w:rFonts w:ascii="Calibri" w:hAnsi="Calibri"/>
                <w:color w:val="282C29"/>
                <w:sz w:val="18"/>
              </w:rPr>
              <w:t>Tier 3 Approved</w:t>
            </w:r>
          </w:p>
        </w:tc>
        <w:tc>
          <w:tcPr>
            <w:tcW w:type="dxa" w:w="1728"/>
            <w:shd w:fill="FFFFFF"/>
            <w:tcMar>
              <w:top w:w="100" w:type="dxa"/>
              <w:bottom w:w="100" w:type="dxa"/>
              <w:left w:w="160" w:type="dxa"/>
              <w:right w:w="160" w:type="dxa"/>
            </w:tcMar>
          </w:tcPr>
          <w:p>
            <w:pPr>
              <w:jc w:val="left"/>
            </w:pPr>
            <w:r>
              <w:rPr>
                <w:rFonts w:ascii="Calibri" w:hAnsi="Calibri"/>
                <w:color w:val="282C29"/>
                <w:sz w:val="18"/>
              </w:rPr>
              <w:t>Active Diligence</w:t>
            </w:r>
          </w:p>
        </w:tc>
      </w:tr>
    </w:tbl>
    <w:p>
      <w:pPr>
        <w:spacing w:before="80" w:after="160"/>
      </w:pPr>
    </w:p>
    <w:tbl>
      <w:tblPr>
        <w:tblW w:type="auto" w:w="0"/>
        <w:jc w:val="center"/>
        <w:tblLayout w:type="fixed"/>
        <w:tblLook w:firstColumn="1" w:firstRow="1" w:lastColumn="0" w:lastRow="0" w:noHBand="0" w:noVBand="1" w:val="04A0"/>
      </w:tblPr>
      <w:tblGrid>
        <w:gridCol w:w="9792"/>
      </w:tblGrid>
      <w:tr>
        <w:tc>
          <w:tcPr>
            <w:tcW w:type="dxa" w:w="9792"/>
            <w:shd w:fill="F7F4EC"/>
            <w:tcMar>
              <w:top w:w="160" w:type="dxa"/>
              <w:bottom w:w="160" w:type="dxa"/>
              <w:left w:w="240" w:type="dxa"/>
              <w:right w:w="200" w:type="dxa"/>
            </w:tcMar>
            <w:tcBorders>
              <w:top w:val="none"/>
              <w:left w:val="single" w:sz="24" w:space="0" w:color="A88B65"/>
              <w:bottom w:val="none"/>
              <w:right w:val="none"/>
            </w:tcBorders>
          </w:tcPr>
          <w:p>
            <w:pPr>
              <w:spacing w:before="40" w:after="40"/>
            </w:pPr>
            <w:r>
              <w:rPr>
                <w:rFonts w:ascii="Calibri" w:hAnsi="Calibri"/>
                <w:b/>
                <w:color w:val="A88B65"/>
                <w:sz w:val="19"/>
              </w:rPr>
              <w:t>SPATIAL PHILOSOPHY &amp; OPERATIONAL ZONING</w:t>
              <w:br/>
            </w:r>
            <w:r>
              <w:rPr>
                <w:rFonts w:ascii="Georgia" w:hAnsi="Georgia"/>
                <w:i/>
                <w:color w:val="19382D"/>
                <w:sz w:val="19"/>
              </w:rPr>
              <w:t>The conceptual site plan for Jonik Ndovu Farm organizes the 15-hectare consolidated property into high-synergy zones that cleanly isolate guest tranquility from operational farm machinery, livestock management, and delivery logistics. Development is phased across the existing owned 8-hectare platform and the ~7-hectare expansion parcel.</w:t>
            </w:r>
          </w:p>
        </w:tc>
      </w:tr>
    </w:tbl>
    <w:p>
      <w:pPr>
        <w:spacing w:before="80" w:after="160"/>
      </w:pPr>
    </w:p>
    <w:p>
      <w:pPr>
        <w:keepNext/>
        <w:spacing w:before="320" w:after="120"/>
      </w:pPr>
      <w:r>
        <w:rPr>
          <w:rFonts w:ascii="Georgia" w:hAnsi="Georgia"/>
          <w:b/>
          <w:color w:val="19382D"/>
          <w:sz w:val="28"/>
        </w:rPr>
        <w:t>1. Comprehensive Spatial Allocation Schedule</w:t>
      </w:r>
    </w:p>
    <w:p>
      <w:pPr>
        <w:spacing w:before="40" w:after="120" w:line="276" w:lineRule="auto"/>
      </w:pPr>
      <w:r>
        <w:rPr>
          <w:rFonts w:ascii="Calibri" w:hAnsi="Calibri"/>
          <w:color w:val="282C29"/>
          <w:sz w:val="20"/>
        </w:rPr>
        <w:t>The consolidated 15-hectare masterplan balances luxury guest privacy, productive agriculture, and natural corridors:</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2592"/>
            <w:shd w:fill="19382D"/>
            <w:tcMar>
              <w:top w:w="140" w:type="dxa"/>
              <w:bottom w:w="140" w:type="dxa"/>
              <w:left w:w="180" w:type="dxa"/>
              <w:right w:w="180" w:type="dxa"/>
            </w:tcMar>
          </w:tcPr>
          <w:p>
            <w:pPr>
              <w:jc w:val="left"/>
            </w:pPr>
            <w:r>
              <w:rPr>
                <w:rFonts w:ascii="Calibri" w:hAnsi="Calibri"/>
                <w:b/>
                <w:color w:val="F7F4EC"/>
                <w:sz w:val="19"/>
              </w:rPr>
              <w:t>Functional Zone</w:t>
            </w:r>
          </w:p>
        </w:tc>
        <w:tc>
          <w:tcPr>
            <w:tcW w:type="dxa" w:w="1008"/>
            <w:shd w:fill="19382D"/>
            <w:tcMar>
              <w:top w:w="140" w:type="dxa"/>
              <w:bottom w:w="140" w:type="dxa"/>
              <w:left w:w="180" w:type="dxa"/>
              <w:right w:w="180" w:type="dxa"/>
            </w:tcMar>
          </w:tcPr>
          <w:p>
            <w:pPr>
              <w:jc w:val="left"/>
            </w:pPr>
            <w:r>
              <w:rPr>
                <w:rFonts w:ascii="Calibri" w:hAnsi="Calibri"/>
                <w:b/>
                <w:color w:val="F7F4EC"/>
                <w:sz w:val="19"/>
              </w:rPr>
              <w:t>Owned 8 ha</w:t>
            </w:r>
          </w:p>
        </w:tc>
        <w:tc>
          <w:tcPr>
            <w:tcW w:type="dxa" w:w="1296"/>
            <w:shd w:fill="19382D"/>
            <w:tcMar>
              <w:top w:w="140" w:type="dxa"/>
              <w:bottom w:w="140" w:type="dxa"/>
              <w:left w:w="180" w:type="dxa"/>
              <w:right w:w="180" w:type="dxa"/>
            </w:tcMar>
          </w:tcPr>
          <w:p>
            <w:pPr>
              <w:jc w:val="left"/>
            </w:pPr>
            <w:r>
              <w:rPr>
                <w:rFonts w:ascii="Calibri" w:hAnsi="Calibri"/>
                <w:b/>
                <w:color w:val="F7F4EC"/>
                <w:sz w:val="19"/>
              </w:rPr>
              <w:t>Expansion ~7 ha</w:t>
            </w:r>
          </w:p>
        </w:tc>
        <w:tc>
          <w:tcPr>
            <w:tcW w:type="dxa" w:w="1152"/>
            <w:shd w:fill="19382D"/>
            <w:tcMar>
              <w:top w:w="140" w:type="dxa"/>
              <w:bottom w:w="140" w:type="dxa"/>
              <w:left w:w="180" w:type="dxa"/>
              <w:right w:w="180" w:type="dxa"/>
            </w:tcMar>
          </w:tcPr>
          <w:p>
            <w:pPr>
              <w:jc w:val="left"/>
            </w:pPr>
            <w:r>
              <w:rPr>
                <w:rFonts w:ascii="Calibri" w:hAnsi="Calibri"/>
                <w:b/>
                <w:color w:val="F7F4EC"/>
                <w:sz w:val="19"/>
              </w:rPr>
              <w:t>Total Footprint</w:t>
            </w:r>
          </w:p>
        </w:tc>
        <w:tc>
          <w:tcPr>
            <w:tcW w:type="dxa" w:w="864"/>
            <w:shd w:fill="19382D"/>
            <w:tcMar>
              <w:top w:w="140" w:type="dxa"/>
              <w:bottom w:w="140" w:type="dxa"/>
              <w:left w:w="180" w:type="dxa"/>
              <w:right w:w="180" w:type="dxa"/>
            </w:tcMar>
          </w:tcPr>
          <w:p>
            <w:pPr>
              <w:jc w:val="left"/>
            </w:pPr>
            <w:r>
              <w:rPr>
                <w:rFonts w:ascii="Calibri" w:hAnsi="Calibri"/>
                <w:b/>
                <w:color w:val="F7F4EC"/>
                <w:sz w:val="19"/>
              </w:rPr>
              <w:t>% Total</w:t>
            </w:r>
          </w:p>
        </w:tc>
        <w:tc>
          <w:tcPr>
            <w:tcW w:type="dxa" w:w="3168"/>
            <w:shd w:fill="19382D"/>
            <w:tcMar>
              <w:top w:w="140" w:type="dxa"/>
              <w:bottom w:w="140" w:type="dxa"/>
              <w:left w:w="180" w:type="dxa"/>
              <w:right w:w="180" w:type="dxa"/>
            </w:tcMar>
          </w:tcPr>
          <w:p>
            <w:pPr>
              <w:jc w:val="left"/>
            </w:pPr>
            <w:r>
              <w:rPr>
                <w:rFonts w:ascii="Calibri" w:hAnsi="Calibri"/>
                <w:b/>
                <w:color w:val="F7F4EC"/>
                <w:sz w:val="19"/>
              </w:rPr>
              <w:t>Key Infrastructure &amp; Features</w:t>
            </w:r>
          </w:p>
        </w:tc>
      </w:tr>
      <w:tr>
        <w:tc>
          <w:tcPr>
            <w:tcW w:type="dxa" w:w="2592"/>
            <w:shd w:fill="FFFFFF"/>
            <w:tcMar>
              <w:top w:w="100" w:type="dxa"/>
              <w:bottom w:w="100" w:type="dxa"/>
              <w:left w:w="160" w:type="dxa"/>
              <w:right w:w="160" w:type="dxa"/>
            </w:tcMar>
          </w:tcPr>
          <w:p>
            <w:pPr>
              <w:jc w:val="left"/>
            </w:pPr>
            <w:r>
              <w:rPr>
                <w:rFonts w:ascii="Calibri" w:hAnsi="Calibri"/>
                <w:color w:val="282C29"/>
                <w:sz w:val="18"/>
              </w:rPr>
              <w:t>Guest Pavilions (12–15 Units)</w:t>
            </w:r>
          </w:p>
        </w:tc>
        <w:tc>
          <w:tcPr>
            <w:tcW w:type="dxa" w:w="1008"/>
            <w:shd w:fill="FFFFFF"/>
            <w:tcMar>
              <w:top w:w="100" w:type="dxa"/>
              <w:bottom w:w="100" w:type="dxa"/>
              <w:left w:w="160" w:type="dxa"/>
              <w:right w:w="160" w:type="dxa"/>
            </w:tcMar>
          </w:tcPr>
          <w:p>
            <w:pPr>
              <w:jc w:val="left"/>
            </w:pPr>
            <w:r>
              <w:rPr>
                <w:rFonts w:ascii="Calibri" w:hAnsi="Calibri"/>
                <w:color w:val="282C29"/>
                <w:sz w:val="18"/>
              </w:rPr>
              <w:t>1.20 ha</w:t>
            </w:r>
          </w:p>
        </w:tc>
        <w:tc>
          <w:tcPr>
            <w:tcW w:type="dxa" w:w="1296"/>
            <w:shd w:fill="FFFFFF"/>
            <w:tcMar>
              <w:top w:w="100" w:type="dxa"/>
              <w:bottom w:w="100" w:type="dxa"/>
              <w:left w:w="160" w:type="dxa"/>
              <w:right w:w="160" w:type="dxa"/>
            </w:tcMar>
          </w:tcPr>
          <w:p>
            <w:pPr>
              <w:jc w:val="left"/>
            </w:pPr>
            <w:r>
              <w:rPr>
                <w:rFonts w:ascii="Calibri" w:hAnsi="Calibri"/>
                <w:color w:val="282C29"/>
                <w:sz w:val="18"/>
              </w:rPr>
              <w:t>0.40 ha</w:t>
            </w:r>
          </w:p>
        </w:tc>
        <w:tc>
          <w:tcPr>
            <w:tcW w:type="dxa" w:w="1152"/>
            <w:shd w:fill="FFFFFF"/>
            <w:tcMar>
              <w:top w:w="100" w:type="dxa"/>
              <w:bottom w:w="100" w:type="dxa"/>
              <w:left w:w="160" w:type="dxa"/>
              <w:right w:w="160" w:type="dxa"/>
            </w:tcMar>
          </w:tcPr>
          <w:p>
            <w:pPr>
              <w:jc w:val="left"/>
            </w:pPr>
            <w:r>
              <w:rPr>
                <w:rFonts w:ascii="Calibri" w:hAnsi="Calibri"/>
                <w:color w:val="282C29"/>
                <w:sz w:val="18"/>
              </w:rPr>
              <w:t>1.60 ha</w:t>
            </w:r>
          </w:p>
        </w:tc>
        <w:tc>
          <w:tcPr>
            <w:tcW w:type="dxa" w:w="864"/>
            <w:shd w:fill="FFFFFF"/>
            <w:tcMar>
              <w:top w:w="100" w:type="dxa"/>
              <w:bottom w:w="100" w:type="dxa"/>
              <w:left w:w="160" w:type="dxa"/>
              <w:right w:w="160" w:type="dxa"/>
            </w:tcMar>
          </w:tcPr>
          <w:p>
            <w:pPr>
              <w:jc w:val="left"/>
            </w:pPr>
            <w:r>
              <w:rPr>
                <w:rFonts w:ascii="Calibri" w:hAnsi="Calibri"/>
                <w:color w:val="282C29"/>
                <w:sz w:val="18"/>
              </w:rPr>
              <w:t>10.7%</w:t>
            </w:r>
          </w:p>
        </w:tc>
        <w:tc>
          <w:tcPr>
            <w:tcW w:type="dxa" w:w="3168"/>
            <w:shd w:fill="FFFFFF"/>
            <w:tcMar>
              <w:top w:w="100" w:type="dxa"/>
              <w:bottom w:w="100" w:type="dxa"/>
              <w:left w:w="160" w:type="dxa"/>
              <w:right w:w="160" w:type="dxa"/>
            </w:tcMar>
          </w:tcPr>
          <w:p>
            <w:pPr>
              <w:jc w:val="left"/>
            </w:pPr>
            <w:r>
              <w:rPr>
                <w:rFonts w:ascii="Calibri" w:hAnsi="Calibri"/>
                <w:color w:val="282C29"/>
                <w:sz w:val="18"/>
              </w:rPr>
              <w:t>Eco-luxury suites, timber decks, private plunge pools, tranquil paths.</w:t>
            </w:r>
          </w:p>
        </w:tc>
      </w:tr>
      <w:tr>
        <w:tc>
          <w:tcPr>
            <w:tcW w:type="dxa" w:w="2592"/>
            <w:shd w:fill="FAF8F5"/>
            <w:tcMar>
              <w:top w:w="100" w:type="dxa"/>
              <w:bottom w:w="100" w:type="dxa"/>
              <w:left w:w="160" w:type="dxa"/>
              <w:right w:w="160" w:type="dxa"/>
            </w:tcMar>
          </w:tcPr>
          <w:p>
            <w:pPr>
              <w:jc w:val="left"/>
            </w:pPr>
            <w:r>
              <w:rPr>
                <w:rFonts w:ascii="Calibri" w:hAnsi="Calibri"/>
                <w:color w:val="282C29"/>
                <w:sz w:val="18"/>
              </w:rPr>
              <w:t>Central Lodge &amp; Dining Pavilion</w:t>
            </w:r>
          </w:p>
        </w:tc>
        <w:tc>
          <w:tcPr>
            <w:tcW w:type="dxa" w:w="1008"/>
            <w:shd w:fill="FAF8F5"/>
            <w:tcMar>
              <w:top w:w="100" w:type="dxa"/>
              <w:bottom w:w="100" w:type="dxa"/>
              <w:left w:w="160" w:type="dxa"/>
              <w:right w:w="160" w:type="dxa"/>
            </w:tcMar>
          </w:tcPr>
          <w:p>
            <w:pPr>
              <w:jc w:val="left"/>
            </w:pPr>
            <w:r>
              <w:rPr>
                <w:rFonts w:ascii="Calibri" w:hAnsi="Calibri"/>
                <w:color w:val="282C29"/>
                <w:sz w:val="18"/>
              </w:rPr>
              <w:t>0.40 ha</w:t>
            </w:r>
          </w:p>
        </w:tc>
        <w:tc>
          <w:tcPr>
            <w:tcW w:type="dxa" w:w="1296"/>
            <w:shd w:fill="FAF8F5"/>
            <w:tcMar>
              <w:top w:w="100" w:type="dxa"/>
              <w:bottom w:w="100" w:type="dxa"/>
              <w:left w:w="160" w:type="dxa"/>
              <w:right w:w="160" w:type="dxa"/>
            </w:tcMar>
          </w:tcPr>
          <w:p>
            <w:pPr>
              <w:jc w:val="left"/>
            </w:pPr>
            <w:r>
              <w:rPr>
                <w:rFonts w:ascii="Calibri" w:hAnsi="Calibri"/>
                <w:color w:val="282C29"/>
                <w:sz w:val="18"/>
              </w:rPr>
              <w:t>0.00 ha</w:t>
            </w:r>
          </w:p>
        </w:tc>
        <w:tc>
          <w:tcPr>
            <w:tcW w:type="dxa" w:w="1152"/>
            <w:shd w:fill="FAF8F5"/>
            <w:tcMar>
              <w:top w:w="100" w:type="dxa"/>
              <w:bottom w:w="100" w:type="dxa"/>
              <w:left w:w="160" w:type="dxa"/>
              <w:right w:w="160" w:type="dxa"/>
            </w:tcMar>
          </w:tcPr>
          <w:p>
            <w:pPr>
              <w:jc w:val="left"/>
            </w:pPr>
            <w:r>
              <w:rPr>
                <w:rFonts w:ascii="Calibri" w:hAnsi="Calibri"/>
                <w:color w:val="282C29"/>
                <w:sz w:val="18"/>
              </w:rPr>
              <w:t>0.40 ha</w:t>
            </w:r>
          </w:p>
        </w:tc>
        <w:tc>
          <w:tcPr>
            <w:tcW w:type="dxa" w:w="864"/>
            <w:shd w:fill="FAF8F5"/>
            <w:tcMar>
              <w:top w:w="100" w:type="dxa"/>
              <w:bottom w:w="100" w:type="dxa"/>
              <w:left w:w="160" w:type="dxa"/>
              <w:right w:w="160" w:type="dxa"/>
            </w:tcMar>
          </w:tcPr>
          <w:p>
            <w:pPr>
              <w:jc w:val="left"/>
            </w:pPr>
            <w:r>
              <w:rPr>
                <w:rFonts w:ascii="Calibri" w:hAnsi="Calibri"/>
                <w:color w:val="282C29"/>
                <w:sz w:val="18"/>
              </w:rPr>
              <w:t>2.7%</w:t>
            </w:r>
          </w:p>
        </w:tc>
        <w:tc>
          <w:tcPr>
            <w:tcW w:type="dxa" w:w="3168"/>
            <w:shd w:fill="FAF8F5"/>
            <w:tcMar>
              <w:top w:w="100" w:type="dxa"/>
              <w:bottom w:w="100" w:type="dxa"/>
              <w:left w:w="160" w:type="dxa"/>
              <w:right w:w="160" w:type="dxa"/>
            </w:tcMar>
          </w:tcPr>
          <w:p>
            <w:pPr>
              <w:jc w:val="left"/>
            </w:pPr>
            <w:r>
              <w:rPr>
                <w:rFonts w:ascii="Calibri" w:hAnsi="Calibri"/>
                <w:color w:val="282C29"/>
                <w:sz w:val="18"/>
              </w:rPr>
              <w:t>Lounge, restaurant, wine larder, fire pit, arrival deck.</w:t>
            </w:r>
          </w:p>
        </w:tc>
      </w:tr>
      <w:tr>
        <w:tc>
          <w:tcPr>
            <w:tcW w:type="dxa" w:w="2592"/>
            <w:shd w:fill="FFFFFF"/>
            <w:tcMar>
              <w:top w:w="100" w:type="dxa"/>
              <w:bottom w:w="100" w:type="dxa"/>
              <w:left w:w="160" w:type="dxa"/>
              <w:right w:w="160" w:type="dxa"/>
            </w:tcMar>
          </w:tcPr>
          <w:p>
            <w:pPr>
              <w:jc w:val="left"/>
            </w:pPr>
            <w:r>
              <w:rPr>
                <w:rFonts w:ascii="Calibri" w:hAnsi="Calibri"/>
                <w:color w:val="282C29"/>
                <w:sz w:val="18"/>
              </w:rPr>
              <w:t>Wellness Sanctuary &amp; Farm Pool</w:t>
            </w:r>
          </w:p>
        </w:tc>
        <w:tc>
          <w:tcPr>
            <w:tcW w:type="dxa" w:w="1008"/>
            <w:shd w:fill="FFFFFF"/>
            <w:tcMar>
              <w:top w:w="100" w:type="dxa"/>
              <w:bottom w:w="100" w:type="dxa"/>
              <w:left w:w="160" w:type="dxa"/>
              <w:right w:w="160" w:type="dxa"/>
            </w:tcMar>
          </w:tcPr>
          <w:p>
            <w:pPr>
              <w:jc w:val="left"/>
            </w:pPr>
            <w:r>
              <w:rPr>
                <w:rFonts w:ascii="Calibri" w:hAnsi="Calibri"/>
                <w:color w:val="282C29"/>
                <w:sz w:val="18"/>
              </w:rPr>
              <w:t>0.30 ha</w:t>
            </w:r>
          </w:p>
        </w:tc>
        <w:tc>
          <w:tcPr>
            <w:tcW w:type="dxa" w:w="1296"/>
            <w:shd w:fill="FFFFFF"/>
            <w:tcMar>
              <w:top w:w="100" w:type="dxa"/>
              <w:bottom w:w="100" w:type="dxa"/>
              <w:left w:w="160" w:type="dxa"/>
              <w:right w:w="160" w:type="dxa"/>
            </w:tcMar>
          </w:tcPr>
          <w:p>
            <w:pPr>
              <w:jc w:val="left"/>
            </w:pPr>
            <w:r>
              <w:rPr>
                <w:rFonts w:ascii="Calibri" w:hAnsi="Calibri"/>
                <w:color w:val="282C29"/>
                <w:sz w:val="18"/>
              </w:rPr>
              <w:t>0.20 ha</w:t>
            </w:r>
          </w:p>
        </w:tc>
        <w:tc>
          <w:tcPr>
            <w:tcW w:type="dxa" w:w="1152"/>
            <w:shd w:fill="FFFFFF"/>
            <w:tcMar>
              <w:top w:w="100" w:type="dxa"/>
              <w:bottom w:w="100" w:type="dxa"/>
              <w:left w:w="160" w:type="dxa"/>
              <w:right w:w="160" w:type="dxa"/>
            </w:tcMar>
          </w:tcPr>
          <w:p>
            <w:pPr>
              <w:jc w:val="left"/>
            </w:pPr>
            <w:r>
              <w:rPr>
                <w:rFonts w:ascii="Calibri" w:hAnsi="Calibri"/>
                <w:color w:val="282C29"/>
                <w:sz w:val="18"/>
              </w:rPr>
              <w:t>0.50 ha</w:t>
            </w:r>
          </w:p>
        </w:tc>
        <w:tc>
          <w:tcPr>
            <w:tcW w:type="dxa" w:w="864"/>
            <w:shd w:fill="FFFFFF"/>
            <w:tcMar>
              <w:top w:w="100" w:type="dxa"/>
              <w:bottom w:w="100" w:type="dxa"/>
              <w:left w:w="160" w:type="dxa"/>
              <w:right w:w="160" w:type="dxa"/>
            </w:tcMar>
          </w:tcPr>
          <w:p>
            <w:pPr>
              <w:jc w:val="left"/>
            </w:pPr>
            <w:r>
              <w:rPr>
                <w:rFonts w:ascii="Calibri" w:hAnsi="Calibri"/>
                <w:color w:val="282C29"/>
                <w:sz w:val="18"/>
              </w:rPr>
              <w:t>3.3%</w:t>
            </w:r>
          </w:p>
        </w:tc>
        <w:tc>
          <w:tcPr>
            <w:tcW w:type="dxa" w:w="3168"/>
            <w:shd w:fill="FFFFFF"/>
            <w:tcMar>
              <w:top w:w="100" w:type="dxa"/>
              <w:bottom w:w="100" w:type="dxa"/>
              <w:left w:w="160" w:type="dxa"/>
              <w:right w:w="160" w:type="dxa"/>
            </w:tcMar>
          </w:tcPr>
          <w:p>
            <w:pPr>
              <w:jc w:val="left"/>
            </w:pPr>
            <w:r>
              <w:rPr>
                <w:rFonts w:ascii="Calibri" w:hAnsi="Calibri"/>
                <w:color w:val="282C29"/>
                <w:sz w:val="18"/>
              </w:rPr>
              <w:t>Heated lap pool, cedar sauna, steam bath, yoga deck.</w:t>
            </w:r>
          </w:p>
        </w:tc>
      </w:tr>
      <w:tr>
        <w:tc>
          <w:tcPr>
            <w:tcW w:type="dxa" w:w="2592"/>
            <w:shd w:fill="FAF8F5"/>
            <w:tcMar>
              <w:top w:w="100" w:type="dxa"/>
              <w:bottom w:w="100" w:type="dxa"/>
              <w:left w:w="160" w:type="dxa"/>
              <w:right w:w="160" w:type="dxa"/>
            </w:tcMar>
          </w:tcPr>
          <w:p>
            <w:pPr>
              <w:jc w:val="left"/>
            </w:pPr>
            <w:r>
              <w:rPr>
                <w:rFonts w:ascii="Calibri" w:hAnsi="Calibri"/>
                <w:color w:val="282C29"/>
                <w:sz w:val="18"/>
              </w:rPr>
              <w:t>Intensive Organic Kitchen Gardens</w:t>
            </w:r>
          </w:p>
        </w:tc>
        <w:tc>
          <w:tcPr>
            <w:tcW w:type="dxa" w:w="1008"/>
            <w:shd w:fill="FAF8F5"/>
            <w:tcMar>
              <w:top w:w="100" w:type="dxa"/>
              <w:bottom w:w="100" w:type="dxa"/>
              <w:left w:w="160" w:type="dxa"/>
              <w:right w:w="160" w:type="dxa"/>
            </w:tcMar>
          </w:tcPr>
          <w:p>
            <w:pPr>
              <w:jc w:val="left"/>
            </w:pPr>
            <w:r>
              <w:rPr>
                <w:rFonts w:ascii="Calibri" w:hAnsi="Calibri"/>
                <w:color w:val="282C29"/>
                <w:sz w:val="18"/>
              </w:rPr>
              <w:t>2.00 ha</w:t>
            </w:r>
          </w:p>
        </w:tc>
        <w:tc>
          <w:tcPr>
            <w:tcW w:type="dxa" w:w="1296"/>
            <w:shd w:fill="FAF8F5"/>
            <w:tcMar>
              <w:top w:w="100" w:type="dxa"/>
              <w:bottom w:w="100" w:type="dxa"/>
              <w:left w:w="160" w:type="dxa"/>
              <w:right w:w="160" w:type="dxa"/>
            </w:tcMar>
          </w:tcPr>
          <w:p>
            <w:pPr>
              <w:jc w:val="left"/>
            </w:pPr>
            <w:r>
              <w:rPr>
                <w:rFonts w:ascii="Calibri" w:hAnsi="Calibri"/>
                <w:color w:val="282C29"/>
                <w:sz w:val="18"/>
              </w:rPr>
              <w:t>1.00 ha</w:t>
            </w:r>
          </w:p>
        </w:tc>
        <w:tc>
          <w:tcPr>
            <w:tcW w:type="dxa" w:w="1152"/>
            <w:shd w:fill="FAF8F5"/>
            <w:tcMar>
              <w:top w:w="100" w:type="dxa"/>
              <w:bottom w:w="100" w:type="dxa"/>
              <w:left w:w="160" w:type="dxa"/>
              <w:right w:w="160" w:type="dxa"/>
            </w:tcMar>
          </w:tcPr>
          <w:p>
            <w:pPr>
              <w:jc w:val="left"/>
            </w:pPr>
            <w:r>
              <w:rPr>
                <w:rFonts w:ascii="Calibri" w:hAnsi="Calibri"/>
                <w:color w:val="282C29"/>
                <w:sz w:val="18"/>
              </w:rPr>
              <w:t>3.00 ha</w:t>
            </w:r>
          </w:p>
        </w:tc>
        <w:tc>
          <w:tcPr>
            <w:tcW w:type="dxa" w:w="864"/>
            <w:shd w:fill="FAF8F5"/>
            <w:tcMar>
              <w:top w:w="100" w:type="dxa"/>
              <w:bottom w:w="100" w:type="dxa"/>
              <w:left w:w="160" w:type="dxa"/>
              <w:right w:w="160" w:type="dxa"/>
            </w:tcMar>
          </w:tcPr>
          <w:p>
            <w:pPr>
              <w:jc w:val="left"/>
            </w:pPr>
            <w:r>
              <w:rPr>
                <w:rFonts w:ascii="Calibri" w:hAnsi="Calibri"/>
                <w:color w:val="282C29"/>
                <w:sz w:val="18"/>
              </w:rPr>
              <w:t>20.0%</w:t>
            </w:r>
          </w:p>
        </w:tc>
        <w:tc>
          <w:tcPr>
            <w:tcW w:type="dxa" w:w="3168"/>
            <w:shd w:fill="FAF8F5"/>
            <w:tcMar>
              <w:top w:w="100" w:type="dxa"/>
              <w:bottom w:w="100" w:type="dxa"/>
              <w:left w:w="160" w:type="dxa"/>
              <w:right w:w="160" w:type="dxa"/>
            </w:tcMar>
          </w:tcPr>
          <w:p>
            <w:pPr>
              <w:jc w:val="left"/>
            </w:pPr>
            <w:r>
              <w:rPr>
                <w:rFonts w:ascii="Calibri" w:hAnsi="Calibri"/>
                <w:color w:val="282C29"/>
                <w:sz w:val="18"/>
              </w:rPr>
              <w:t>Heirloom vegetables, salad greens, greenhouse tunnels, drip lines.</w:t>
            </w:r>
          </w:p>
        </w:tc>
      </w:tr>
      <w:tr>
        <w:tc>
          <w:tcPr>
            <w:tcW w:type="dxa" w:w="2592"/>
            <w:shd w:fill="FFFFFF"/>
            <w:tcMar>
              <w:top w:w="100" w:type="dxa"/>
              <w:bottom w:w="100" w:type="dxa"/>
              <w:left w:w="160" w:type="dxa"/>
              <w:right w:w="160" w:type="dxa"/>
            </w:tcMar>
          </w:tcPr>
          <w:p>
            <w:pPr>
              <w:jc w:val="left"/>
            </w:pPr>
            <w:r>
              <w:rPr>
                <w:rFonts w:ascii="Calibri" w:hAnsi="Calibri"/>
                <w:color w:val="282C29"/>
                <w:sz w:val="18"/>
              </w:rPr>
              <w:t>Productive Agroforestry Orchards</w:t>
            </w:r>
          </w:p>
        </w:tc>
        <w:tc>
          <w:tcPr>
            <w:tcW w:type="dxa" w:w="1008"/>
            <w:shd w:fill="FFFFFF"/>
            <w:tcMar>
              <w:top w:w="100" w:type="dxa"/>
              <w:bottom w:w="100" w:type="dxa"/>
              <w:left w:w="160" w:type="dxa"/>
              <w:right w:w="160" w:type="dxa"/>
            </w:tcMar>
          </w:tcPr>
          <w:p>
            <w:pPr>
              <w:jc w:val="left"/>
            </w:pPr>
            <w:r>
              <w:rPr>
                <w:rFonts w:ascii="Calibri" w:hAnsi="Calibri"/>
                <w:color w:val="282C29"/>
                <w:sz w:val="18"/>
              </w:rPr>
              <w:t>0.80 ha</w:t>
            </w:r>
          </w:p>
        </w:tc>
        <w:tc>
          <w:tcPr>
            <w:tcW w:type="dxa" w:w="1296"/>
            <w:shd w:fill="FFFFFF"/>
            <w:tcMar>
              <w:top w:w="100" w:type="dxa"/>
              <w:bottom w:w="100" w:type="dxa"/>
              <w:left w:w="160" w:type="dxa"/>
              <w:right w:w="160" w:type="dxa"/>
            </w:tcMar>
          </w:tcPr>
          <w:p>
            <w:pPr>
              <w:jc w:val="left"/>
            </w:pPr>
            <w:r>
              <w:rPr>
                <w:rFonts w:ascii="Calibri" w:hAnsi="Calibri"/>
                <w:color w:val="282C29"/>
                <w:sz w:val="18"/>
              </w:rPr>
              <w:t>1.50 ha</w:t>
            </w:r>
          </w:p>
        </w:tc>
        <w:tc>
          <w:tcPr>
            <w:tcW w:type="dxa" w:w="1152"/>
            <w:shd w:fill="FFFFFF"/>
            <w:tcMar>
              <w:top w:w="100" w:type="dxa"/>
              <w:bottom w:w="100" w:type="dxa"/>
              <w:left w:w="160" w:type="dxa"/>
              <w:right w:w="160" w:type="dxa"/>
            </w:tcMar>
          </w:tcPr>
          <w:p>
            <w:pPr>
              <w:jc w:val="left"/>
            </w:pPr>
            <w:r>
              <w:rPr>
                <w:rFonts w:ascii="Calibri" w:hAnsi="Calibri"/>
                <w:color w:val="282C29"/>
                <w:sz w:val="18"/>
              </w:rPr>
              <w:t>2.30 ha</w:t>
            </w:r>
          </w:p>
        </w:tc>
        <w:tc>
          <w:tcPr>
            <w:tcW w:type="dxa" w:w="864"/>
            <w:shd w:fill="FFFFFF"/>
            <w:tcMar>
              <w:top w:w="100" w:type="dxa"/>
              <w:bottom w:w="100" w:type="dxa"/>
              <w:left w:w="160" w:type="dxa"/>
              <w:right w:w="160" w:type="dxa"/>
            </w:tcMar>
          </w:tcPr>
          <w:p>
            <w:pPr>
              <w:jc w:val="left"/>
            </w:pPr>
            <w:r>
              <w:rPr>
                <w:rFonts w:ascii="Calibri" w:hAnsi="Calibri"/>
                <w:color w:val="282C29"/>
                <w:sz w:val="18"/>
              </w:rPr>
              <w:t>15.3%</w:t>
            </w:r>
          </w:p>
        </w:tc>
        <w:tc>
          <w:tcPr>
            <w:tcW w:type="dxa" w:w="3168"/>
            <w:shd w:fill="FFFFFF"/>
            <w:tcMar>
              <w:top w:w="100" w:type="dxa"/>
              <w:bottom w:w="100" w:type="dxa"/>
              <w:left w:w="160" w:type="dxa"/>
              <w:right w:w="160" w:type="dxa"/>
            </w:tcMar>
          </w:tcPr>
          <w:p>
            <w:pPr>
              <w:jc w:val="left"/>
            </w:pPr>
            <w:r>
              <w:rPr>
                <w:rFonts w:ascii="Calibri" w:hAnsi="Calibri"/>
                <w:color w:val="282C29"/>
                <w:sz w:val="18"/>
              </w:rPr>
              <w:t>Citrus, avocado, macadamia, indigenous honey flora, guest walking loop.</w:t>
            </w:r>
          </w:p>
        </w:tc>
      </w:tr>
      <w:tr>
        <w:tc>
          <w:tcPr>
            <w:tcW w:type="dxa" w:w="2592"/>
            <w:shd w:fill="FAF8F5"/>
            <w:tcMar>
              <w:top w:w="100" w:type="dxa"/>
              <w:bottom w:w="100" w:type="dxa"/>
              <w:left w:w="160" w:type="dxa"/>
              <w:right w:w="160" w:type="dxa"/>
            </w:tcMar>
          </w:tcPr>
          <w:p>
            <w:pPr>
              <w:jc w:val="left"/>
            </w:pPr>
            <w:r>
              <w:rPr>
                <w:rFonts w:ascii="Calibri" w:hAnsi="Calibri"/>
                <w:color w:val="282C29"/>
                <w:sz w:val="18"/>
              </w:rPr>
              <w:t>Pastoral &amp; Animal Integration</w:t>
            </w:r>
          </w:p>
        </w:tc>
        <w:tc>
          <w:tcPr>
            <w:tcW w:type="dxa" w:w="1008"/>
            <w:shd w:fill="FAF8F5"/>
            <w:tcMar>
              <w:top w:w="100" w:type="dxa"/>
              <w:bottom w:w="100" w:type="dxa"/>
              <w:left w:w="160" w:type="dxa"/>
              <w:right w:w="160" w:type="dxa"/>
            </w:tcMar>
          </w:tcPr>
          <w:p>
            <w:pPr>
              <w:jc w:val="left"/>
            </w:pPr>
            <w:r>
              <w:rPr>
                <w:rFonts w:ascii="Calibri" w:hAnsi="Calibri"/>
                <w:color w:val="282C29"/>
                <w:sz w:val="18"/>
              </w:rPr>
              <w:t>0.80 ha</w:t>
            </w:r>
          </w:p>
        </w:tc>
        <w:tc>
          <w:tcPr>
            <w:tcW w:type="dxa" w:w="1296"/>
            <w:shd w:fill="FAF8F5"/>
            <w:tcMar>
              <w:top w:w="100" w:type="dxa"/>
              <w:bottom w:w="100" w:type="dxa"/>
              <w:left w:w="160" w:type="dxa"/>
              <w:right w:w="160" w:type="dxa"/>
            </w:tcMar>
          </w:tcPr>
          <w:p>
            <w:pPr>
              <w:jc w:val="left"/>
            </w:pPr>
            <w:r>
              <w:rPr>
                <w:rFonts w:ascii="Calibri" w:hAnsi="Calibri"/>
                <w:color w:val="282C29"/>
                <w:sz w:val="18"/>
              </w:rPr>
              <w:t>1.20 ha</w:t>
            </w:r>
          </w:p>
        </w:tc>
        <w:tc>
          <w:tcPr>
            <w:tcW w:type="dxa" w:w="1152"/>
            <w:shd w:fill="FAF8F5"/>
            <w:tcMar>
              <w:top w:w="100" w:type="dxa"/>
              <w:bottom w:w="100" w:type="dxa"/>
              <w:left w:w="160" w:type="dxa"/>
              <w:right w:w="160" w:type="dxa"/>
            </w:tcMar>
          </w:tcPr>
          <w:p>
            <w:pPr>
              <w:jc w:val="left"/>
            </w:pPr>
            <w:r>
              <w:rPr>
                <w:rFonts w:ascii="Calibri" w:hAnsi="Calibri"/>
                <w:color w:val="282C29"/>
                <w:sz w:val="18"/>
              </w:rPr>
              <w:t>2.00 ha</w:t>
            </w:r>
          </w:p>
        </w:tc>
        <w:tc>
          <w:tcPr>
            <w:tcW w:type="dxa" w:w="864"/>
            <w:shd w:fill="FAF8F5"/>
            <w:tcMar>
              <w:top w:w="100" w:type="dxa"/>
              <w:bottom w:w="100" w:type="dxa"/>
              <w:left w:w="160" w:type="dxa"/>
              <w:right w:w="160" w:type="dxa"/>
            </w:tcMar>
          </w:tcPr>
          <w:p>
            <w:pPr>
              <w:jc w:val="left"/>
            </w:pPr>
            <w:r>
              <w:rPr>
                <w:rFonts w:ascii="Calibri" w:hAnsi="Calibri"/>
                <w:color w:val="282C29"/>
                <w:sz w:val="18"/>
              </w:rPr>
              <w:t>13.3%</w:t>
            </w:r>
          </w:p>
        </w:tc>
        <w:tc>
          <w:tcPr>
            <w:tcW w:type="dxa" w:w="3168"/>
            <w:shd w:fill="FAF8F5"/>
            <w:tcMar>
              <w:top w:w="100" w:type="dxa"/>
              <w:bottom w:w="100" w:type="dxa"/>
              <w:left w:w="160" w:type="dxa"/>
              <w:right w:w="160" w:type="dxa"/>
            </w:tcMar>
          </w:tcPr>
          <w:p>
            <w:pPr>
              <w:jc w:val="left"/>
            </w:pPr>
            <w:r>
              <w:rPr>
                <w:rFonts w:ascii="Calibri" w:hAnsi="Calibri"/>
                <w:color w:val="282C29"/>
                <w:sz w:val="18"/>
              </w:rPr>
              <w:t>Rotational sheep grazing, heritage poultry, apiary, small dairy.</w:t>
            </w:r>
          </w:p>
        </w:tc>
      </w:tr>
      <w:tr>
        <w:tc>
          <w:tcPr>
            <w:tcW w:type="dxa" w:w="2592"/>
            <w:shd w:fill="FFFFFF"/>
            <w:tcMar>
              <w:top w:w="100" w:type="dxa"/>
              <w:bottom w:w="100" w:type="dxa"/>
              <w:left w:w="160" w:type="dxa"/>
              <w:right w:w="160" w:type="dxa"/>
            </w:tcMar>
          </w:tcPr>
          <w:p>
            <w:pPr>
              <w:jc w:val="left"/>
            </w:pPr>
            <w:r>
              <w:rPr>
                <w:rFonts w:ascii="Calibri" w:hAnsi="Calibri"/>
                <w:color w:val="282C29"/>
                <w:sz w:val="18"/>
              </w:rPr>
              <w:t>Arrival Gate, BOH &amp; Staff Living</w:t>
            </w:r>
          </w:p>
        </w:tc>
        <w:tc>
          <w:tcPr>
            <w:tcW w:type="dxa" w:w="1008"/>
            <w:shd w:fill="FFFFFF"/>
            <w:tcMar>
              <w:top w:w="100" w:type="dxa"/>
              <w:bottom w:w="100" w:type="dxa"/>
              <w:left w:w="160" w:type="dxa"/>
              <w:right w:w="160" w:type="dxa"/>
            </w:tcMar>
          </w:tcPr>
          <w:p>
            <w:pPr>
              <w:jc w:val="left"/>
            </w:pPr>
            <w:r>
              <w:rPr>
                <w:rFonts w:ascii="Calibri" w:hAnsi="Calibri"/>
                <w:color w:val="282C29"/>
                <w:sz w:val="18"/>
              </w:rPr>
              <w:t>0.70 ha</w:t>
            </w:r>
          </w:p>
        </w:tc>
        <w:tc>
          <w:tcPr>
            <w:tcW w:type="dxa" w:w="1296"/>
            <w:shd w:fill="FFFFFF"/>
            <w:tcMar>
              <w:top w:w="100" w:type="dxa"/>
              <w:bottom w:w="100" w:type="dxa"/>
              <w:left w:w="160" w:type="dxa"/>
              <w:right w:w="160" w:type="dxa"/>
            </w:tcMar>
          </w:tcPr>
          <w:p>
            <w:pPr>
              <w:jc w:val="left"/>
            </w:pPr>
            <w:r>
              <w:rPr>
                <w:rFonts w:ascii="Calibri" w:hAnsi="Calibri"/>
                <w:color w:val="282C29"/>
                <w:sz w:val="18"/>
              </w:rPr>
              <w:t>0.30 ha</w:t>
            </w:r>
          </w:p>
        </w:tc>
        <w:tc>
          <w:tcPr>
            <w:tcW w:type="dxa" w:w="1152"/>
            <w:shd w:fill="FFFFFF"/>
            <w:tcMar>
              <w:top w:w="100" w:type="dxa"/>
              <w:bottom w:w="100" w:type="dxa"/>
              <w:left w:w="160" w:type="dxa"/>
              <w:right w:w="160" w:type="dxa"/>
            </w:tcMar>
          </w:tcPr>
          <w:p>
            <w:pPr>
              <w:jc w:val="left"/>
            </w:pPr>
            <w:r>
              <w:rPr>
                <w:rFonts w:ascii="Calibri" w:hAnsi="Calibri"/>
                <w:color w:val="282C29"/>
                <w:sz w:val="18"/>
              </w:rPr>
              <w:t>1.00 ha</w:t>
            </w:r>
          </w:p>
        </w:tc>
        <w:tc>
          <w:tcPr>
            <w:tcW w:type="dxa" w:w="864"/>
            <w:shd w:fill="FFFFFF"/>
            <w:tcMar>
              <w:top w:w="100" w:type="dxa"/>
              <w:bottom w:w="100" w:type="dxa"/>
              <w:left w:w="160" w:type="dxa"/>
              <w:right w:w="160" w:type="dxa"/>
            </w:tcMar>
          </w:tcPr>
          <w:p>
            <w:pPr>
              <w:jc w:val="left"/>
            </w:pPr>
            <w:r>
              <w:rPr>
                <w:rFonts w:ascii="Calibri" w:hAnsi="Calibri"/>
                <w:color w:val="282C29"/>
                <w:sz w:val="18"/>
              </w:rPr>
              <w:t>6.7%</w:t>
            </w:r>
          </w:p>
        </w:tc>
        <w:tc>
          <w:tcPr>
            <w:tcW w:type="dxa" w:w="3168"/>
            <w:shd w:fill="FFFFFF"/>
            <w:tcMar>
              <w:top w:w="100" w:type="dxa"/>
              <w:bottom w:w="100" w:type="dxa"/>
              <w:left w:w="160" w:type="dxa"/>
              <w:right w:w="160" w:type="dxa"/>
            </w:tcMar>
          </w:tcPr>
          <w:p>
            <w:pPr>
              <w:jc w:val="left"/>
            </w:pPr>
            <w:r>
              <w:rPr>
                <w:rFonts w:ascii="Calibri" w:hAnsi="Calibri"/>
                <w:color w:val="282C29"/>
                <w:sz w:val="18"/>
              </w:rPr>
              <w:t>Security gatehouse, staff quarters, maintenance depot, central larder.</w:t>
            </w:r>
          </w:p>
        </w:tc>
      </w:tr>
      <w:tr>
        <w:tc>
          <w:tcPr>
            <w:tcW w:type="dxa" w:w="2592"/>
            <w:shd w:fill="FAF8F5"/>
            <w:tcMar>
              <w:top w:w="100" w:type="dxa"/>
              <w:bottom w:w="100" w:type="dxa"/>
              <w:left w:w="160" w:type="dxa"/>
              <w:right w:w="160" w:type="dxa"/>
            </w:tcMar>
          </w:tcPr>
          <w:p>
            <w:pPr>
              <w:jc w:val="left"/>
            </w:pPr>
            <w:r>
              <w:rPr>
                <w:rFonts w:ascii="Calibri" w:hAnsi="Calibri"/>
                <w:color w:val="282C29"/>
                <w:sz w:val="18"/>
              </w:rPr>
              <w:t>Internal Roads &amp; Circulation</w:t>
            </w:r>
          </w:p>
        </w:tc>
        <w:tc>
          <w:tcPr>
            <w:tcW w:type="dxa" w:w="1008"/>
            <w:shd w:fill="FAF8F5"/>
            <w:tcMar>
              <w:top w:w="100" w:type="dxa"/>
              <w:bottom w:w="100" w:type="dxa"/>
              <w:left w:w="160" w:type="dxa"/>
              <w:right w:w="160" w:type="dxa"/>
            </w:tcMar>
          </w:tcPr>
          <w:p>
            <w:pPr>
              <w:jc w:val="left"/>
            </w:pPr>
            <w:r>
              <w:rPr>
                <w:rFonts w:ascii="Calibri" w:hAnsi="Calibri"/>
                <w:color w:val="282C29"/>
                <w:sz w:val="18"/>
              </w:rPr>
              <w:t>0.70 ha</w:t>
            </w:r>
          </w:p>
        </w:tc>
        <w:tc>
          <w:tcPr>
            <w:tcW w:type="dxa" w:w="1296"/>
            <w:shd w:fill="FAF8F5"/>
            <w:tcMar>
              <w:top w:w="100" w:type="dxa"/>
              <w:bottom w:w="100" w:type="dxa"/>
              <w:left w:w="160" w:type="dxa"/>
              <w:right w:w="160" w:type="dxa"/>
            </w:tcMar>
          </w:tcPr>
          <w:p>
            <w:pPr>
              <w:jc w:val="left"/>
            </w:pPr>
            <w:r>
              <w:rPr>
                <w:rFonts w:ascii="Calibri" w:hAnsi="Calibri"/>
                <w:color w:val="282C29"/>
                <w:sz w:val="18"/>
              </w:rPr>
              <w:t>0.30 ha</w:t>
            </w:r>
          </w:p>
        </w:tc>
        <w:tc>
          <w:tcPr>
            <w:tcW w:type="dxa" w:w="1152"/>
            <w:shd w:fill="FAF8F5"/>
            <w:tcMar>
              <w:top w:w="100" w:type="dxa"/>
              <w:bottom w:w="100" w:type="dxa"/>
              <w:left w:w="160" w:type="dxa"/>
              <w:right w:w="160" w:type="dxa"/>
            </w:tcMar>
          </w:tcPr>
          <w:p>
            <w:pPr>
              <w:jc w:val="left"/>
            </w:pPr>
            <w:r>
              <w:rPr>
                <w:rFonts w:ascii="Calibri" w:hAnsi="Calibri"/>
                <w:color w:val="282C29"/>
                <w:sz w:val="18"/>
              </w:rPr>
              <w:t>1.00 ha</w:t>
            </w:r>
          </w:p>
        </w:tc>
        <w:tc>
          <w:tcPr>
            <w:tcW w:type="dxa" w:w="864"/>
            <w:shd w:fill="FAF8F5"/>
            <w:tcMar>
              <w:top w:w="100" w:type="dxa"/>
              <w:bottom w:w="100" w:type="dxa"/>
              <w:left w:w="160" w:type="dxa"/>
              <w:right w:w="160" w:type="dxa"/>
            </w:tcMar>
          </w:tcPr>
          <w:p>
            <w:pPr>
              <w:jc w:val="left"/>
            </w:pPr>
            <w:r>
              <w:rPr>
                <w:rFonts w:ascii="Calibri" w:hAnsi="Calibri"/>
                <w:color w:val="282C29"/>
                <w:sz w:val="18"/>
              </w:rPr>
              <w:t>6.7%</w:t>
            </w:r>
          </w:p>
        </w:tc>
        <w:tc>
          <w:tcPr>
            <w:tcW w:type="dxa" w:w="3168"/>
            <w:shd w:fill="FAF8F5"/>
            <w:tcMar>
              <w:top w:w="100" w:type="dxa"/>
              <w:bottom w:w="100" w:type="dxa"/>
              <w:left w:w="160" w:type="dxa"/>
              <w:right w:w="160" w:type="dxa"/>
            </w:tcMar>
          </w:tcPr>
          <w:p>
            <w:pPr>
              <w:jc w:val="left"/>
            </w:pPr>
            <w:r>
              <w:rPr>
                <w:rFonts w:ascii="Calibri" w:hAnsi="Calibri"/>
                <w:color w:val="282C29"/>
                <w:sz w:val="18"/>
              </w:rPr>
              <w:t>Stabilized gravel carriageway, electric buggy lanes, walking tracks.</w:t>
            </w:r>
          </w:p>
        </w:tc>
      </w:tr>
      <w:tr>
        <w:tc>
          <w:tcPr>
            <w:tcW w:type="dxa" w:w="2592"/>
            <w:shd w:fill="FFFFFF"/>
            <w:tcMar>
              <w:top w:w="100" w:type="dxa"/>
              <w:bottom w:w="100" w:type="dxa"/>
              <w:left w:w="160" w:type="dxa"/>
              <w:right w:w="160" w:type="dxa"/>
            </w:tcMar>
          </w:tcPr>
          <w:p>
            <w:pPr>
              <w:jc w:val="left"/>
            </w:pPr>
            <w:r>
              <w:rPr>
                <w:rFonts w:ascii="Calibri" w:hAnsi="Calibri"/>
                <w:color w:val="282C29"/>
                <w:sz w:val="18"/>
              </w:rPr>
              <w:t>Solar &amp; Hydrological Utilities</w:t>
            </w:r>
          </w:p>
        </w:tc>
        <w:tc>
          <w:tcPr>
            <w:tcW w:type="dxa" w:w="1008"/>
            <w:shd w:fill="FFFFFF"/>
            <w:tcMar>
              <w:top w:w="100" w:type="dxa"/>
              <w:bottom w:w="100" w:type="dxa"/>
              <w:left w:w="160" w:type="dxa"/>
              <w:right w:w="160" w:type="dxa"/>
            </w:tcMar>
          </w:tcPr>
          <w:p>
            <w:pPr>
              <w:jc w:val="left"/>
            </w:pPr>
            <w:r>
              <w:rPr>
                <w:rFonts w:ascii="Calibri" w:hAnsi="Calibri"/>
                <w:color w:val="282C29"/>
                <w:sz w:val="18"/>
              </w:rPr>
              <w:t>0.25 ha</w:t>
            </w:r>
          </w:p>
        </w:tc>
        <w:tc>
          <w:tcPr>
            <w:tcW w:type="dxa" w:w="1296"/>
            <w:shd w:fill="FFFFFF"/>
            <w:tcMar>
              <w:top w:w="100" w:type="dxa"/>
              <w:bottom w:w="100" w:type="dxa"/>
              <w:left w:w="160" w:type="dxa"/>
              <w:right w:w="160" w:type="dxa"/>
            </w:tcMar>
          </w:tcPr>
          <w:p>
            <w:pPr>
              <w:jc w:val="left"/>
            </w:pPr>
            <w:r>
              <w:rPr>
                <w:rFonts w:ascii="Calibri" w:hAnsi="Calibri"/>
                <w:color w:val="282C29"/>
                <w:sz w:val="18"/>
              </w:rPr>
              <w:t>0.15 ha</w:t>
            </w:r>
          </w:p>
        </w:tc>
        <w:tc>
          <w:tcPr>
            <w:tcW w:type="dxa" w:w="1152"/>
            <w:shd w:fill="FFFFFF"/>
            <w:tcMar>
              <w:top w:w="100" w:type="dxa"/>
              <w:bottom w:w="100" w:type="dxa"/>
              <w:left w:w="160" w:type="dxa"/>
              <w:right w:w="160" w:type="dxa"/>
            </w:tcMar>
          </w:tcPr>
          <w:p>
            <w:pPr>
              <w:jc w:val="left"/>
            </w:pPr>
            <w:r>
              <w:rPr>
                <w:rFonts w:ascii="Calibri" w:hAnsi="Calibri"/>
                <w:color w:val="282C29"/>
                <w:sz w:val="18"/>
              </w:rPr>
              <w:t>0.40 ha</w:t>
            </w:r>
          </w:p>
        </w:tc>
        <w:tc>
          <w:tcPr>
            <w:tcW w:type="dxa" w:w="864"/>
            <w:shd w:fill="FFFFFF"/>
            <w:tcMar>
              <w:top w:w="100" w:type="dxa"/>
              <w:bottom w:w="100" w:type="dxa"/>
              <w:left w:w="160" w:type="dxa"/>
              <w:right w:w="160" w:type="dxa"/>
            </w:tcMar>
          </w:tcPr>
          <w:p>
            <w:pPr>
              <w:jc w:val="left"/>
            </w:pPr>
            <w:r>
              <w:rPr>
                <w:rFonts w:ascii="Calibri" w:hAnsi="Calibri"/>
                <w:color w:val="282C29"/>
                <w:sz w:val="18"/>
              </w:rPr>
              <w:t>2.7%</w:t>
            </w:r>
          </w:p>
        </w:tc>
        <w:tc>
          <w:tcPr>
            <w:tcW w:type="dxa" w:w="3168"/>
            <w:shd w:fill="FFFFFF"/>
            <w:tcMar>
              <w:top w:w="100" w:type="dxa"/>
              <w:bottom w:w="100" w:type="dxa"/>
              <w:left w:w="160" w:type="dxa"/>
              <w:right w:w="160" w:type="dxa"/>
            </w:tcMar>
          </w:tcPr>
          <w:p>
            <w:pPr>
              <w:jc w:val="left"/>
            </w:pPr>
            <w:r>
              <w:rPr>
                <w:rFonts w:ascii="Calibri" w:hAnsi="Calibri"/>
                <w:color w:val="282C29"/>
                <w:sz w:val="18"/>
              </w:rPr>
              <w:t>Ground solar PV, inverter station, borehole pump, water storage.</w:t>
            </w:r>
          </w:p>
        </w:tc>
      </w:tr>
      <w:tr>
        <w:tc>
          <w:tcPr>
            <w:tcW w:type="dxa" w:w="2592"/>
            <w:shd w:fill="FAF8F5"/>
            <w:tcMar>
              <w:top w:w="100" w:type="dxa"/>
              <w:bottom w:w="100" w:type="dxa"/>
              <w:left w:w="160" w:type="dxa"/>
              <w:right w:w="160" w:type="dxa"/>
            </w:tcMar>
          </w:tcPr>
          <w:p>
            <w:pPr>
              <w:jc w:val="left"/>
            </w:pPr>
            <w:r>
              <w:rPr>
                <w:rFonts w:ascii="Calibri" w:hAnsi="Calibri"/>
                <w:color w:val="282C29"/>
                <w:sz w:val="18"/>
              </w:rPr>
              <w:t>Savannah Conservation Buffer</w:t>
            </w:r>
          </w:p>
        </w:tc>
        <w:tc>
          <w:tcPr>
            <w:tcW w:type="dxa" w:w="1008"/>
            <w:shd w:fill="FAF8F5"/>
            <w:tcMar>
              <w:top w:w="100" w:type="dxa"/>
              <w:bottom w:w="100" w:type="dxa"/>
              <w:left w:w="160" w:type="dxa"/>
              <w:right w:w="160" w:type="dxa"/>
            </w:tcMar>
          </w:tcPr>
          <w:p>
            <w:pPr>
              <w:jc w:val="left"/>
            </w:pPr>
            <w:r>
              <w:rPr>
                <w:rFonts w:ascii="Calibri" w:hAnsi="Calibri"/>
                <w:color w:val="282C29"/>
                <w:sz w:val="18"/>
              </w:rPr>
              <w:t>0.85 ha</w:t>
            </w:r>
          </w:p>
        </w:tc>
        <w:tc>
          <w:tcPr>
            <w:tcW w:type="dxa" w:w="1296"/>
            <w:shd w:fill="FAF8F5"/>
            <w:tcMar>
              <w:top w:w="100" w:type="dxa"/>
              <w:bottom w:w="100" w:type="dxa"/>
              <w:left w:w="160" w:type="dxa"/>
              <w:right w:w="160" w:type="dxa"/>
            </w:tcMar>
          </w:tcPr>
          <w:p>
            <w:pPr>
              <w:jc w:val="left"/>
            </w:pPr>
            <w:r>
              <w:rPr>
                <w:rFonts w:ascii="Calibri" w:hAnsi="Calibri"/>
                <w:color w:val="282C29"/>
                <w:sz w:val="18"/>
              </w:rPr>
              <w:t>1.95 ha</w:t>
            </w:r>
          </w:p>
        </w:tc>
        <w:tc>
          <w:tcPr>
            <w:tcW w:type="dxa" w:w="1152"/>
            <w:shd w:fill="FAF8F5"/>
            <w:tcMar>
              <w:top w:w="100" w:type="dxa"/>
              <w:bottom w:w="100" w:type="dxa"/>
              <w:left w:w="160" w:type="dxa"/>
              <w:right w:w="160" w:type="dxa"/>
            </w:tcMar>
          </w:tcPr>
          <w:p>
            <w:pPr>
              <w:jc w:val="left"/>
            </w:pPr>
            <w:r>
              <w:rPr>
                <w:rFonts w:ascii="Calibri" w:hAnsi="Calibri"/>
                <w:color w:val="282C29"/>
                <w:sz w:val="18"/>
              </w:rPr>
              <w:t>2.80 ha</w:t>
            </w:r>
          </w:p>
        </w:tc>
        <w:tc>
          <w:tcPr>
            <w:tcW w:type="dxa" w:w="864"/>
            <w:shd w:fill="FAF8F5"/>
            <w:tcMar>
              <w:top w:w="100" w:type="dxa"/>
              <w:bottom w:w="100" w:type="dxa"/>
              <w:left w:w="160" w:type="dxa"/>
              <w:right w:w="160" w:type="dxa"/>
            </w:tcMar>
          </w:tcPr>
          <w:p>
            <w:pPr>
              <w:jc w:val="left"/>
            </w:pPr>
            <w:r>
              <w:rPr>
                <w:rFonts w:ascii="Calibri" w:hAnsi="Calibri"/>
                <w:color w:val="282C29"/>
                <w:sz w:val="18"/>
              </w:rPr>
              <w:t>18.7%</w:t>
            </w:r>
          </w:p>
        </w:tc>
        <w:tc>
          <w:tcPr>
            <w:tcW w:type="dxa" w:w="3168"/>
            <w:shd w:fill="FAF8F5"/>
            <w:tcMar>
              <w:top w:w="100" w:type="dxa"/>
              <w:bottom w:w="100" w:type="dxa"/>
              <w:left w:w="160" w:type="dxa"/>
              <w:right w:w="160" w:type="dxa"/>
            </w:tcMar>
          </w:tcPr>
          <w:p>
            <w:pPr>
              <w:jc w:val="left"/>
            </w:pPr>
            <w:r>
              <w:rPr>
                <w:rFonts w:ascii="Calibri" w:hAnsi="Calibri"/>
                <w:color w:val="282C29"/>
                <w:sz w:val="18"/>
              </w:rPr>
              <w:t>Natural acacia woodland, bird viewing blinds, wildlife buffer corridor.</w:t>
            </w:r>
          </w:p>
        </w:tc>
      </w:tr>
      <w:tr>
        <w:tc>
          <w:tcPr>
            <w:tcW w:type="dxa" w:w="2592"/>
            <w:shd w:fill="FFFFFF"/>
            <w:tcMar>
              <w:top w:w="100" w:type="dxa"/>
              <w:bottom w:w="100" w:type="dxa"/>
              <w:left w:w="160" w:type="dxa"/>
              <w:right w:w="160" w:type="dxa"/>
            </w:tcMar>
          </w:tcPr>
          <w:p>
            <w:pPr>
              <w:jc w:val="left"/>
            </w:pPr>
            <w:r>
              <w:rPr>
                <w:rFonts w:ascii="Calibri" w:hAnsi="Calibri"/>
                <w:color w:val="282C29"/>
                <w:sz w:val="18"/>
              </w:rPr>
              <w:t>TOTAL MASTERPLAN FOOTPRINT</w:t>
            </w:r>
          </w:p>
        </w:tc>
        <w:tc>
          <w:tcPr>
            <w:tcW w:type="dxa" w:w="1008"/>
            <w:shd w:fill="FFFFFF"/>
            <w:tcMar>
              <w:top w:w="100" w:type="dxa"/>
              <w:bottom w:w="100" w:type="dxa"/>
              <w:left w:w="160" w:type="dxa"/>
              <w:right w:w="160" w:type="dxa"/>
            </w:tcMar>
          </w:tcPr>
          <w:p>
            <w:pPr>
              <w:jc w:val="left"/>
            </w:pPr>
            <w:r>
              <w:rPr>
                <w:rFonts w:ascii="Calibri" w:hAnsi="Calibri"/>
                <w:color w:val="282C29"/>
                <w:sz w:val="18"/>
              </w:rPr>
              <w:t>8.00 ha</w:t>
            </w:r>
          </w:p>
        </w:tc>
        <w:tc>
          <w:tcPr>
            <w:tcW w:type="dxa" w:w="1296"/>
            <w:shd w:fill="FFFFFF"/>
            <w:tcMar>
              <w:top w:w="100" w:type="dxa"/>
              <w:bottom w:w="100" w:type="dxa"/>
              <w:left w:w="160" w:type="dxa"/>
              <w:right w:w="160" w:type="dxa"/>
            </w:tcMar>
          </w:tcPr>
          <w:p>
            <w:pPr>
              <w:jc w:val="left"/>
            </w:pPr>
            <w:r>
              <w:rPr>
                <w:rFonts w:ascii="Calibri" w:hAnsi="Calibri"/>
                <w:color w:val="282C29"/>
                <w:sz w:val="18"/>
              </w:rPr>
              <w:t>7.00 ha</w:t>
            </w:r>
          </w:p>
        </w:tc>
        <w:tc>
          <w:tcPr>
            <w:tcW w:type="dxa" w:w="1152"/>
            <w:shd w:fill="FFFFFF"/>
            <w:tcMar>
              <w:top w:w="100" w:type="dxa"/>
              <w:bottom w:w="100" w:type="dxa"/>
              <w:left w:w="160" w:type="dxa"/>
              <w:right w:w="160" w:type="dxa"/>
            </w:tcMar>
          </w:tcPr>
          <w:p>
            <w:pPr>
              <w:jc w:val="left"/>
            </w:pPr>
            <w:r>
              <w:rPr>
                <w:rFonts w:ascii="Calibri" w:hAnsi="Calibri"/>
                <w:color w:val="282C29"/>
                <w:sz w:val="18"/>
              </w:rPr>
              <w:t>15.00 ha</w:t>
            </w:r>
          </w:p>
        </w:tc>
        <w:tc>
          <w:tcPr>
            <w:tcW w:type="dxa" w:w="864"/>
            <w:shd w:fill="FFFFFF"/>
            <w:tcMar>
              <w:top w:w="100" w:type="dxa"/>
              <w:bottom w:w="100" w:type="dxa"/>
              <w:left w:w="160" w:type="dxa"/>
              <w:right w:w="160" w:type="dxa"/>
            </w:tcMar>
          </w:tcPr>
          <w:p>
            <w:pPr>
              <w:jc w:val="left"/>
            </w:pPr>
            <w:r>
              <w:rPr>
                <w:rFonts w:ascii="Calibri" w:hAnsi="Calibri"/>
                <w:color w:val="282C29"/>
                <w:sz w:val="18"/>
              </w:rPr>
              <w:t>100.0%</w:t>
            </w:r>
          </w:p>
        </w:tc>
        <w:tc>
          <w:tcPr>
            <w:tcW w:type="dxa" w:w="3168"/>
            <w:shd w:fill="FFFFFF"/>
            <w:tcMar>
              <w:top w:w="100" w:type="dxa"/>
              <w:bottom w:w="100" w:type="dxa"/>
              <w:left w:w="160" w:type="dxa"/>
              <w:right w:w="160" w:type="dxa"/>
            </w:tcMar>
          </w:tcPr>
          <w:p>
            <w:pPr>
              <w:jc w:val="left"/>
            </w:pPr>
            <w:r>
              <w:rPr>
                <w:rFonts w:ascii="Calibri" w:hAnsi="Calibri"/>
                <w:color w:val="282C29"/>
                <w:sz w:val="18"/>
              </w:rPr>
              <w:t>Fully integrated agro-resort destination ecosystem.</w:t>
            </w:r>
          </w:p>
        </w:tc>
      </w:tr>
    </w:tbl>
    <w:p>
      <w:pPr>
        <w:spacing w:before="80" w:after="160"/>
      </w:pPr>
    </w:p>
    <w:p>
      <w:pPr>
        <w:keepNext/>
        <w:spacing w:before="320" w:after="120"/>
      </w:pPr>
      <w:r>
        <w:rPr>
          <w:rFonts w:ascii="Georgia" w:hAnsi="Georgia"/>
          <w:b/>
          <w:color w:val="19382D"/>
          <w:sz w:val="28"/>
        </w:rPr>
        <w:t>2. Circulation Engineering &amp; Zone Separation</w:t>
      </w:r>
    </w:p>
    <w:p>
      <w:pPr>
        <w:spacing w:before="40" w:after="120" w:line="276" w:lineRule="auto"/>
      </w:pPr>
      <w:r>
        <w:rPr>
          <w:rFonts w:ascii="Calibri" w:hAnsi="Calibri"/>
          <w:color w:val="282C29"/>
          <w:sz w:val="20"/>
        </w:rPr>
        <w:t>A foundational principle of the masterplan is the complete separation of three distinct circulation systems:</w:t>
      </w:r>
    </w:p>
    <w:p>
      <w:pPr>
        <w:pStyle w:val="ListBullet"/>
        <w:spacing w:before="20" w:after="60" w:line="276" w:lineRule="auto"/>
      </w:pPr>
      <w:r>
        <w:rPr>
          <w:rFonts w:ascii="Calibri" w:hAnsi="Calibri"/>
          <w:b/>
          <w:color w:val="19382D"/>
          <w:sz w:val="20"/>
        </w:rPr>
        <w:t xml:space="preserve">Primary Guest Network: </w:t>
      </w:r>
      <w:r>
        <w:rPr>
          <w:rFonts w:ascii="Calibri" w:hAnsi="Calibri"/>
          <w:color w:val="282C29"/>
          <w:sz w:val="20"/>
        </w:rPr>
        <w:t>Silent, pedestrian-first stabilized gravel paths and electric buggy corridors connecting arrival, lodge, guest pavilions, and wellness sanctuary. Motorized guest vehicles park at the perimeter arrival pavilion.</w:t>
      </w:r>
    </w:p>
    <w:p>
      <w:pPr>
        <w:pStyle w:val="ListBullet"/>
        <w:spacing w:before="20" w:after="60" w:line="276" w:lineRule="auto"/>
      </w:pPr>
      <w:r>
        <w:rPr>
          <w:rFonts w:ascii="Calibri" w:hAnsi="Calibri"/>
          <w:b/>
          <w:color w:val="19382D"/>
          <w:sz w:val="20"/>
        </w:rPr>
        <w:t xml:space="preserve">Agricultural Operations Network: </w:t>
      </w:r>
      <w:r>
        <w:rPr>
          <w:rFonts w:ascii="Calibri" w:hAnsi="Calibri"/>
          <w:color w:val="282C29"/>
          <w:sz w:val="20"/>
        </w:rPr>
        <w:t>Dedicated perimeter service road for daily farm equipment, tractor access, compost movement, and crop harvesting without traversing guest sightlines.</w:t>
      </w:r>
    </w:p>
    <w:p>
      <w:pPr>
        <w:pStyle w:val="ListBullet"/>
        <w:spacing w:before="20" w:after="60" w:line="276" w:lineRule="auto"/>
      </w:pPr>
      <w:r>
        <w:rPr>
          <w:rFonts w:ascii="Calibri" w:hAnsi="Calibri"/>
          <w:b/>
          <w:color w:val="19382D"/>
          <w:sz w:val="20"/>
        </w:rPr>
        <w:t xml:space="preserve">Back-of-House Service Network: </w:t>
      </w:r>
      <w:r>
        <w:rPr>
          <w:rFonts w:ascii="Calibri" w:hAnsi="Calibri"/>
          <w:color w:val="282C29"/>
          <w:sz w:val="20"/>
        </w:rPr>
        <w:t>Direct spur road from the main access road straight to the BOH yard for linen deliveries, food replenishment, gas/diesel delivery, and solid waste removal.</w:t>
      </w:r>
    </w:p>
    <w:p>
      <w:pPr>
        <w:keepNext/>
        <w:spacing w:before="320" w:after="120"/>
      </w:pPr>
      <w:r>
        <w:rPr>
          <w:rFonts w:ascii="Georgia" w:hAnsi="Georgia"/>
          <w:b/>
          <w:color w:val="19382D"/>
          <w:sz w:val="28"/>
        </w:rPr>
        <w:t>3. Off-Grid Engineering Sizing &amp; Specifications</w:t>
      </w:r>
    </w:p>
    <w:p>
      <w:pPr>
        <w:spacing w:before="40" w:after="120" w:line="276" w:lineRule="auto"/>
      </w:pPr>
      <w:r>
        <w:rPr>
          <w:rFonts w:ascii="Calibri" w:hAnsi="Calibri"/>
          <w:color w:val="282C29"/>
          <w:sz w:val="20"/>
        </w:rPr>
        <w:t>The site utility infrastructure is engineered for complete standalone resilience:</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160"/>
            <w:shd w:fill="19382D"/>
            <w:tcMar>
              <w:top w:w="140" w:type="dxa"/>
              <w:bottom w:w="140" w:type="dxa"/>
              <w:left w:w="180" w:type="dxa"/>
              <w:right w:w="180" w:type="dxa"/>
            </w:tcMar>
          </w:tcPr>
          <w:p>
            <w:pPr>
              <w:jc w:val="left"/>
            </w:pPr>
            <w:r>
              <w:rPr>
                <w:rFonts w:ascii="Calibri" w:hAnsi="Calibri"/>
                <w:b/>
                <w:color w:val="F7F4EC"/>
                <w:sz w:val="19"/>
              </w:rPr>
              <w:t>System</w:t>
            </w:r>
          </w:p>
        </w:tc>
        <w:tc>
          <w:tcPr>
            <w:tcW w:type="dxa" w:w="2160"/>
            <w:shd w:fill="19382D"/>
            <w:tcMar>
              <w:top w:w="140" w:type="dxa"/>
              <w:bottom w:w="140" w:type="dxa"/>
              <w:left w:w="180" w:type="dxa"/>
              <w:right w:w="180" w:type="dxa"/>
            </w:tcMar>
          </w:tcPr>
          <w:p>
            <w:pPr>
              <w:jc w:val="left"/>
            </w:pPr>
            <w:r>
              <w:rPr>
                <w:rFonts w:ascii="Calibri" w:hAnsi="Calibri"/>
                <w:b/>
                <w:color w:val="F7F4EC"/>
                <w:sz w:val="19"/>
              </w:rPr>
              <w:t>Capacity / Sizing</w:t>
            </w:r>
          </w:p>
        </w:tc>
        <w:tc>
          <w:tcPr>
            <w:tcW w:type="dxa" w:w="2304"/>
            <w:shd w:fill="19382D"/>
            <w:tcMar>
              <w:top w:w="140" w:type="dxa"/>
              <w:bottom w:w="140" w:type="dxa"/>
              <w:left w:w="180" w:type="dxa"/>
              <w:right w:w="180" w:type="dxa"/>
            </w:tcMar>
          </w:tcPr>
          <w:p>
            <w:pPr>
              <w:jc w:val="left"/>
            </w:pPr>
            <w:r>
              <w:rPr>
                <w:rFonts w:ascii="Calibri" w:hAnsi="Calibri"/>
                <w:b/>
                <w:color w:val="F7F4EC"/>
                <w:sz w:val="19"/>
              </w:rPr>
              <w:t>Redundancy / Storage</w:t>
            </w:r>
          </w:p>
        </w:tc>
        <w:tc>
          <w:tcPr>
            <w:tcW w:type="dxa" w:w="3456"/>
            <w:shd w:fill="19382D"/>
            <w:tcMar>
              <w:top w:w="140" w:type="dxa"/>
              <w:bottom w:w="140" w:type="dxa"/>
              <w:left w:w="180" w:type="dxa"/>
              <w:right w:w="180" w:type="dxa"/>
            </w:tcMar>
          </w:tcPr>
          <w:p>
            <w:pPr>
              <w:jc w:val="left"/>
            </w:pPr>
            <w:r>
              <w:rPr>
                <w:rFonts w:ascii="Calibri" w:hAnsi="Calibri"/>
                <w:b/>
                <w:color w:val="F7F4EC"/>
                <w:sz w:val="19"/>
              </w:rPr>
              <w:t>Specification Standard</w:t>
            </w:r>
          </w:p>
        </w:tc>
      </w:tr>
      <w:tr>
        <w:tc>
          <w:tcPr>
            <w:tcW w:type="dxa" w:w="2160"/>
            <w:shd w:fill="FFFFFF"/>
            <w:tcMar>
              <w:top w:w="100" w:type="dxa"/>
              <w:bottom w:w="100" w:type="dxa"/>
              <w:left w:w="160" w:type="dxa"/>
              <w:right w:w="160" w:type="dxa"/>
            </w:tcMar>
          </w:tcPr>
          <w:p>
            <w:pPr>
              <w:jc w:val="left"/>
            </w:pPr>
            <w:r>
              <w:rPr>
                <w:rFonts w:ascii="Calibri" w:hAnsi="Calibri"/>
                <w:color w:val="282C29"/>
                <w:sz w:val="18"/>
              </w:rPr>
              <w:t>Solar PV Array</w:t>
            </w:r>
          </w:p>
        </w:tc>
        <w:tc>
          <w:tcPr>
            <w:tcW w:type="dxa" w:w="2160"/>
            <w:shd w:fill="FFFFFF"/>
            <w:tcMar>
              <w:top w:w="100" w:type="dxa"/>
              <w:bottom w:w="100" w:type="dxa"/>
              <w:left w:w="160" w:type="dxa"/>
              <w:right w:w="160" w:type="dxa"/>
            </w:tcMar>
          </w:tcPr>
          <w:p>
            <w:pPr>
              <w:jc w:val="left"/>
            </w:pPr>
            <w:r>
              <w:rPr>
                <w:rFonts w:ascii="Calibri" w:hAnsi="Calibri"/>
                <w:color w:val="282C29"/>
                <w:sz w:val="18"/>
              </w:rPr>
              <w:t>60 kWp Monocrystalline</w:t>
            </w:r>
          </w:p>
        </w:tc>
        <w:tc>
          <w:tcPr>
            <w:tcW w:type="dxa" w:w="2304"/>
            <w:shd w:fill="FFFFFF"/>
            <w:tcMar>
              <w:top w:w="100" w:type="dxa"/>
              <w:bottom w:w="100" w:type="dxa"/>
              <w:left w:w="160" w:type="dxa"/>
              <w:right w:w="160" w:type="dxa"/>
            </w:tcMar>
          </w:tcPr>
          <w:p>
            <w:pPr>
              <w:jc w:val="left"/>
            </w:pPr>
            <w:r>
              <w:rPr>
                <w:rFonts w:ascii="Calibri" w:hAnsi="Calibri"/>
                <w:color w:val="282C29"/>
                <w:sz w:val="18"/>
              </w:rPr>
              <w:t>Ground-mount bifacial panels</w:t>
            </w:r>
          </w:p>
        </w:tc>
        <w:tc>
          <w:tcPr>
            <w:tcW w:type="dxa" w:w="3456"/>
            <w:shd w:fill="FFFFFF"/>
            <w:tcMar>
              <w:top w:w="100" w:type="dxa"/>
              <w:bottom w:w="100" w:type="dxa"/>
              <w:left w:w="160" w:type="dxa"/>
              <w:right w:w="160" w:type="dxa"/>
            </w:tcMar>
          </w:tcPr>
          <w:p>
            <w:pPr>
              <w:jc w:val="left"/>
            </w:pPr>
            <w:r>
              <w:rPr>
                <w:rFonts w:ascii="Calibri" w:hAnsi="Calibri"/>
                <w:color w:val="282C29"/>
                <w:sz w:val="18"/>
              </w:rPr>
              <w:t>Tier 1 panels; automated tracking angle.</w:t>
            </w:r>
          </w:p>
        </w:tc>
      </w:tr>
      <w:tr>
        <w:tc>
          <w:tcPr>
            <w:tcW w:type="dxa" w:w="2160"/>
            <w:shd w:fill="FAF8F5"/>
            <w:tcMar>
              <w:top w:w="100" w:type="dxa"/>
              <w:bottom w:w="100" w:type="dxa"/>
              <w:left w:w="160" w:type="dxa"/>
              <w:right w:w="160" w:type="dxa"/>
            </w:tcMar>
          </w:tcPr>
          <w:p>
            <w:pPr>
              <w:jc w:val="left"/>
            </w:pPr>
            <w:r>
              <w:rPr>
                <w:rFonts w:ascii="Calibri" w:hAnsi="Calibri"/>
                <w:color w:val="282C29"/>
                <w:sz w:val="18"/>
              </w:rPr>
              <w:t>Battery Energy Storage</w:t>
            </w:r>
          </w:p>
        </w:tc>
        <w:tc>
          <w:tcPr>
            <w:tcW w:type="dxa" w:w="2160"/>
            <w:shd w:fill="FAF8F5"/>
            <w:tcMar>
              <w:top w:w="100" w:type="dxa"/>
              <w:bottom w:w="100" w:type="dxa"/>
              <w:left w:w="160" w:type="dxa"/>
              <w:right w:w="160" w:type="dxa"/>
            </w:tcMar>
          </w:tcPr>
          <w:p>
            <w:pPr>
              <w:jc w:val="left"/>
            </w:pPr>
            <w:r>
              <w:rPr>
                <w:rFonts w:ascii="Calibri" w:hAnsi="Calibri"/>
                <w:color w:val="282C29"/>
                <w:sz w:val="18"/>
              </w:rPr>
              <w:t>120 kWh LiFePO4</w:t>
            </w:r>
          </w:p>
        </w:tc>
        <w:tc>
          <w:tcPr>
            <w:tcW w:type="dxa" w:w="2304"/>
            <w:shd w:fill="FAF8F5"/>
            <w:tcMar>
              <w:top w:w="100" w:type="dxa"/>
              <w:bottom w:w="100" w:type="dxa"/>
              <w:left w:w="160" w:type="dxa"/>
              <w:right w:w="160" w:type="dxa"/>
            </w:tcMar>
          </w:tcPr>
          <w:p>
            <w:pPr>
              <w:jc w:val="left"/>
            </w:pPr>
            <w:r>
              <w:rPr>
                <w:rFonts w:ascii="Calibri" w:hAnsi="Calibri"/>
                <w:color w:val="282C29"/>
                <w:sz w:val="18"/>
              </w:rPr>
              <w:t>10-year warranty cycle</w:t>
            </w:r>
          </w:p>
        </w:tc>
        <w:tc>
          <w:tcPr>
            <w:tcW w:type="dxa" w:w="3456"/>
            <w:shd w:fill="FAF8F5"/>
            <w:tcMar>
              <w:top w:w="100" w:type="dxa"/>
              <w:bottom w:w="100" w:type="dxa"/>
              <w:left w:w="160" w:type="dxa"/>
              <w:right w:w="160" w:type="dxa"/>
            </w:tcMar>
          </w:tcPr>
          <w:p>
            <w:pPr>
              <w:jc w:val="left"/>
            </w:pPr>
            <w:r>
              <w:rPr>
                <w:rFonts w:ascii="Calibri" w:hAnsi="Calibri"/>
                <w:color w:val="282C29"/>
                <w:sz w:val="18"/>
              </w:rPr>
              <w:t>48V Victron Energy inverter-charger bank.</w:t>
            </w:r>
          </w:p>
        </w:tc>
      </w:tr>
      <w:tr>
        <w:tc>
          <w:tcPr>
            <w:tcW w:type="dxa" w:w="2160"/>
            <w:shd w:fill="FFFFFF"/>
            <w:tcMar>
              <w:top w:w="100" w:type="dxa"/>
              <w:bottom w:w="100" w:type="dxa"/>
              <w:left w:w="160" w:type="dxa"/>
              <w:right w:w="160" w:type="dxa"/>
            </w:tcMar>
          </w:tcPr>
          <w:p>
            <w:pPr>
              <w:jc w:val="left"/>
            </w:pPr>
            <w:r>
              <w:rPr>
                <w:rFonts w:ascii="Calibri" w:hAnsi="Calibri"/>
                <w:color w:val="282C29"/>
                <w:sz w:val="18"/>
              </w:rPr>
              <w:t>Backup Generation</w:t>
            </w:r>
          </w:p>
        </w:tc>
        <w:tc>
          <w:tcPr>
            <w:tcW w:type="dxa" w:w="2160"/>
            <w:shd w:fill="FFFFFF"/>
            <w:tcMar>
              <w:top w:w="100" w:type="dxa"/>
              <w:bottom w:w="100" w:type="dxa"/>
              <w:left w:w="160" w:type="dxa"/>
              <w:right w:w="160" w:type="dxa"/>
            </w:tcMar>
          </w:tcPr>
          <w:p>
            <w:pPr>
              <w:jc w:val="left"/>
            </w:pPr>
            <w:r>
              <w:rPr>
                <w:rFonts w:ascii="Calibri" w:hAnsi="Calibri"/>
                <w:color w:val="282C29"/>
                <w:sz w:val="18"/>
              </w:rPr>
              <w:t>30 kVA Silent Diesel</w:t>
            </w:r>
          </w:p>
        </w:tc>
        <w:tc>
          <w:tcPr>
            <w:tcW w:type="dxa" w:w="2304"/>
            <w:shd w:fill="FFFFFF"/>
            <w:tcMar>
              <w:top w:w="100" w:type="dxa"/>
              <w:bottom w:w="100" w:type="dxa"/>
              <w:left w:w="160" w:type="dxa"/>
              <w:right w:w="160" w:type="dxa"/>
            </w:tcMar>
          </w:tcPr>
          <w:p>
            <w:pPr>
              <w:jc w:val="left"/>
            </w:pPr>
            <w:r>
              <w:rPr>
                <w:rFonts w:ascii="Calibri" w:hAnsi="Calibri"/>
                <w:color w:val="282C29"/>
                <w:sz w:val="18"/>
              </w:rPr>
              <w:t>500-liter day tank</w:t>
            </w:r>
          </w:p>
        </w:tc>
        <w:tc>
          <w:tcPr>
            <w:tcW w:type="dxa" w:w="3456"/>
            <w:shd w:fill="FFFFFF"/>
            <w:tcMar>
              <w:top w:w="100" w:type="dxa"/>
              <w:bottom w:w="100" w:type="dxa"/>
              <w:left w:w="160" w:type="dxa"/>
              <w:right w:w="160" w:type="dxa"/>
            </w:tcMar>
          </w:tcPr>
          <w:p>
            <w:pPr>
              <w:jc w:val="left"/>
            </w:pPr>
            <w:r>
              <w:rPr>
                <w:rFonts w:ascii="Calibri" w:hAnsi="Calibri"/>
                <w:color w:val="282C29"/>
                <w:sz w:val="18"/>
              </w:rPr>
              <w:t>Automated transfer switch; acoustic enclosure.</w:t>
            </w:r>
          </w:p>
        </w:tc>
      </w:tr>
      <w:tr>
        <w:tc>
          <w:tcPr>
            <w:tcW w:type="dxa" w:w="2160"/>
            <w:shd w:fill="FAF8F5"/>
            <w:tcMar>
              <w:top w:w="100" w:type="dxa"/>
              <w:bottom w:w="100" w:type="dxa"/>
              <w:left w:w="160" w:type="dxa"/>
              <w:right w:w="160" w:type="dxa"/>
            </w:tcMar>
          </w:tcPr>
          <w:p>
            <w:pPr>
              <w:jc w:val="left"/>
            </w:pPr>
            <w:r>
              <w:rPr>
                <w:rFonts w:ascii="Calibri" w:hAnsi="Calibri"/>
                <w:color w:val="282C29"/>
                <w:sz w:val="18"/>
              </w:rPr>
              <w:t>Potable Water Borehole</w:t>
            </w:r>
          </w:p>
        </w:tc>
        <w:tc>
          <w:tcPr>
            <w:tcW w:type="dxa" w:w="2160"/>
            <w:shd w:fill="FAF8F5"/>
            <w:tcMar>
              <w:top w:w="100" w:type="dxa"/>
              <w:bottom w:w="100" w:type="dxa"/>
              <w:left w:w="160" w:type="dxa"/>
              <w:right w:w="160" w:type="dxa"/>
            </w:tcMar>
          </w:tcPr>
          <w:p>
            <w:pPr>
              <w:jc w:val="left"/>
            </w:pPr>
            <w:r>
              <w:rPr>
                <w:rFonts w:ascii="Calibri" w:hAnsi="Calibri"/>
                <w:color w:val="282C29"/>
                <w:sz w:val="18"/>
              </w:rPr>
              <w:t>10,000 L/hr yield</w:t>
            </w:r>
          </w:p>
        </w:tc>
        <w:tc>
          <w:tcPr>
            <w:tcW w:type="dxa" w:w="2304"/>
            <w:shd w:fill="FAF8F5"/>
            <w:tcMar>
              <w:top w:w="100" w:type="dxa"/>
              <w:bottom w:w="100" w:type="dxa"/>
              <w:left w:w="160" w:type="dxa"/>
              <w:right w:w="160" w:type="dxa"/>
            </w:tcMar>
          </w:tcPr>
          <w:p>
            <w:pPr>
              <w:jc w:val="left"/>
            </w:pPr>
            <w:r>
              <w:rPr>
                <w:rFonts w:ascii="Calibri" w:hAnsi="Calibri"/>
                <w:color w:val="282C29"/>
                <w:sz w:val="18"/>
              </w:rPr>
              <w:t>150kL raw + 50kL treated</w:t>
            </w:r>
          </w:p>
        </w:tc>
        <w:tc>
          <w:tcPr>
            <w:tcW w:type="dxa" w:w="3456"/>
            <w:shd w:fill="FAF8F5"/>
            <w:tcMar>
              <w:top w:w="100" w:type="dxa"/>
              <w:bottom w:w="100" w:type="dxa"/>
              <w:left w:w="160" w:type="dxa"/>
              <w:right w:w="160" w:type="dxa"/>
            </w:tcMar>
          </w:tcPr>
          <w:p>
            <w:pPr>
              <w:jc w:val="left"/>
            </w:pPr>
            <w:r>
              <w:rPr>
                <w:rFonts w:ascii="Calibri" w:hAnsi="Calibri"/>
                <w:color w:val="282C29"/>
                <w:sz w:val="18"/>
              </w:rPr>
              <w:t>Deep solar submersible pump; RO &amp; UV purification.</w:t>
            </w:r>
          </w:p>
        </w:tc>
      </w:tr>
      <w:tr>
        <w:tc>
          <w:tcPr>
            <w:tcW w:type="dxa" w:w="2160"/>
            <w:shd w:fill="FFFFFF"/>
            <w:tcMar>
              <w:top w:w="100" w:type="dxa"/>
              <w:bottom w:w="100" w:type="dxa"/>
              <w:left w:w="160" w:type="dxa"/>
              <w:right w:w="160" w:type="dxa"/>
            </w:tcMar>
          </w:tcPr>
          <w:p>
            <w:pPr>
              <w:jc w:val="left"/>
            </w:pPr>
            <w:r>
              <w:rPr>
                <w:rFonts w:ascii="Calibri" w:hAnsi="Calibri"/>
                <w:color w:val="282C29"/>
                <w:sz w:val="18"/>
              </w:rPr>
              <w:t>Greywater Treatment</w:t>
            </w:r>
          </w:p>
        </w:tc>
        <w:tc>
          <w:tcPr>
            <w:tcW w:type="dxa" w:w="2160"/>
            <w:shd w:fill="FFFFFF"/>
            <w:tcMar>
              <w:top w:w="100" w:type="dxa"/>
              <w:bottom w:w="100" w:type="dxa"/>
              <w:left w:w="160" w:type="dxa"/>
              <w:right w:w="160" w:type="dxa"/>
            </w:tcMar>
          </w:tcPr>
          <w:p>
            <w:pPr>
              <w:jc w:val="left"/>
            </w:pPr>
            <w:r>
              <w:rPr>
                <w:rFonts w:ascii="Calibri" w:hAnsi="Calibri"/>
                <w:color w:val="282C29"/>
                <w:sz w:val="18"/>
              </w:rPr>
              <w:t>15,000 L/day capacity</w:t>
            </w:r>
          </w:p>
        </w:tc>
        <w:tc>
          <w:tcPr>
            <w:tcW w:type="dxa" w:w="2304"/>
            <w:shd w:fill="FFFFFF"/>
            <w:tcMar>
              <w:top w:w="100" w:type="dxa"/>
              <w:bottom w:w="100" w:type="dxa"/>
              <w:left w:w="160" w:type="dxa"/>
              <w:right w:w="160" w:type="dxa"/>
            </w:tcMar>
          </w:tcPr>
          <w:p>
            <w:pPr>
              <w:jc w:val="left"/>
            </w:pPr>
            <w:r>
              <w:rPr>
                <w:rFonts w:ascii="Calibri" w:hAnsi="Calibri"/>
                <w:color w:val="282C29"/>
                <w:sz w:val="18"/>
              </w:rPr>
              <w:t>Multi-stage reed bed</w:t>
            </w:r>
          </w:p>
        </w:tc>
        <w:tc>
          <w:tcPr>
            <w:tcW w:type="dxa" w:w="3456"/>
            <w:shd w:fill="FFFFFF"/>
            <w:tcMar>
              <w:top w:w="100" w:type="dxa"/>
              <w:bottom w:w="100" w:type="dxa"/>
              <w:left w:w="160" w:type="dxa"/>
              <w:right w:w="160" w:type="dxa"/>
            </w:tcMar>
          </w:tcPr>
          <w:p>
            <w:pPr>
              <w:jc w:val="left"/>
            </w:pPr>
            <w:r>
              <w:rPr>
                <w:rFonts w:ascii="Calibri" w:hAnsi="Calibri"/>
                <w:color w:val="282C29"/>
                <w:sz w:val="18"/>
              </w:rPr>
              <w:t>Sub-surface drip irrigation for orchards only.</w:t>
            </w:r>
          </w:p>
        </w:tc>
      </w:tr>
      <w:tr>
        <w:tc>
          <w:tcPr>
            <w:tcW w:type="dxa" w:w="2160"/>
            <w:shd w:fill="FAF8F5"/>
            <w:tcMar>
              <w:top w:w="100" w:type="dxa"/>
              <w:bottom w:w="100" w:type="dxa"/>
              <w:left w:w="160" w:type="dxa"/>
              <w:right w:w="160" w:type="dxa"/>
            </w:tcMar>
          </w:tcPr>
          <w:p>
            <w:pPr>
              <w:jc w:val="left"/>
            </w:pPr>
            <w:r>
              <w:rPr>
                <w:rFonts w:ascii="Calibri" w:hAnsi="Calibri"/>
                <w:color w:val="282C29"/>
                <w:sz w:val="18"/>
              </w:rPr>
              <w:t>Fire &amp; Life Safety</w:t>
            </w:r>
          </w:p>
        </w:tc>
        <w:tc>
          <w:tcPr>
            <w:tcW w:type="dxa" w:w="2160"/>
            <w:shd w:fill="FAF8F5"/>
            <w:tcMar>
              <w:top w:w="100" w:type="dxa"/>
              <w:bottom w:w="100" w:type="dxa"/>
              <w:left w:w="160" w:type="dxa"/>
              <w:right w:w="160" w:type="dxa"/>
            </w:tcMar>
          </w:tcPr>
          <w:p>
            <w:pPr>
              <w:jc w:val="left"/>
            </w:pPr>
            <w:r>
              <w:rPr>
                <w:rFonts w:ascii="Calibri" w:hAnsi="Calibri"/>
                <w:color w:val="282C29"/>
                <w:sz w:val="18"/>
              </w:rPr>
              <w:t>Ring main + 4 hydrants</w:t>
            </w:r>
          </w:p>
        </w:tc>
        <w:tc>
          <w:tcPr>
            <w:tcW w:type="dxa" w:w="2304"/>
            <w:shd w:fill="FAF8F5"/>
            <w:tcMar>
              <w:top w:w="100" w:type="dxa"/>
              <w:bottom w:w="100" w:type="dxa"/>
              <w:left w:w="160" w:type="dxa"/>
              <w:right w:w="160" w:type="dxa"/>
            </w:tcMar>
          </w:tcPr>
          <w:p>
            <w:pPr>
              <w:jc w:val="left"/>
            </w:pPr>
            <w:r>
              <w:rPr>
                <w:rFonts w:ascii="Calibri" w:hAnsi="Calibri"/>
                <w:color w:val="282C29"/>
                <w:sz w:val="18"/>
              </w:rPr>
              <w:t>30kL dedicated fire reserve</w:t>
            </w:r>
          </w:p>
        </w:tc>
        <w:tc>
          <w:tcPr>
            <w:tcW w:type="dxa" w:w="3456"/>
            <w:shd w:fill="FAF8F5"/>
            <w:tcMar>
              <w:top w:w="100" w:type="dxa"/>
              <w:bottom w:w="100" w:type="dxa"/>
              <w:left w:w="160" w:type="dxa"/>
              <w:right w:w="160" w:type="dxa"/>
            </w:tcMar>
          </w:tcPr>
          <w:p>
            <w:pPr>
              <w:jc w:val="left"/>
            </w:pPr>
            <w:r>
              <w:rPr>
                <w:rFonts w:ascii="Calibri" w:hAnsi="Calibri"/>
                <w:color w:val="282C29"/>
                <w:sz w:val="18"/>
              </w:rPr>
              <w:t>Diesel backup fire pump; smoke detection.</w:t>
            </w:r>
          </w:p>
        </w:tc>
      </w:tr>
    </w:tbl>
    <w:p>
      <w:pPr>
        <w:spacing w:before="80" w:after="160"/>
      </w:pPr>
    </w:p>
    <w:p>
      <w:pPr>
        <w:keepNext/>
        <w:spacing w:before="320" w:after="120"/>
      </w:pPr>
      <w:r>
        <w:rPr>
          <w:rFonts w:ascii="Georgia" w:hAnsi="Georgia"/>
          <w:b/>
          <w:color w:val="19382D"/>
          <w:sz w:val="28"/>
        </w:rPr>
        <w:t>4. Spatial Zoning of Greener Ecosystem &amp; Productive Assets</w:t>
      </w:r>
    </w:p>
    <w:p>
      <w:pPr>
        <w:spacing w:before="40" w:after="120" w:line="276" w:lineRule="auto"/>
      </w:pPr>
      <w:r>
        <w:rPr>
          <w:rFonts w:ascii="Calibri" w:hAnsi="Calibri"/>
          <w:color w:val="282C29"/>
          <w:sz w:val="20"/>
        </w:rPr>
        <w:t>Over 40% of project capex (US$980,000) is allocated to circular utilities, productive agriculture, catering, and retail:</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2592"/>
            <w:shd w:fill="19382D"/>
            <w:tcMar>
              <w:top w:w="140" w:type="dxa"/>
              <w:bottom w:w="140" w:type="dxa"/>
              <w:left w:w="180" w:type="dxa"/>
              <w:right w:w="180" w:type="dxa"/>
            </w:tcMar>
          </w:tcPr>
          <w:p>
            <w:pPr>
              <w:jc w:val="left"/>
            </w:pPr>
            <w:r>
              <w:rPr>
                <w:rFonts w:ascii="Calibri" w:hAnsi="Calibri"/>
                <w:b/>
                <w:color w:val="F7F4EC"/>
                <w:sz w:val="19"/>
              </w:rPr>
              <w:t>Asset Category</w:t>
            </w:r>
          </w:p>
        </w:tc>
        <w:tc>
          <w:tcPr>
            <w:tcW w:type="dxa" w:w="1440"/>
            <w:shd w:fill="19382D"/>
            <w:tcMar>
              <w:top w:w="140" w:type="dxa"/>
              <w:bottom w:w="140" w:type="dxa"/>
              <w:left w:w="180" w:type="dxa"/>
              <w:right w:w="180" w:type="dxa"/>
            </w:tcMar>
          </w:tcPr>
          <w:p>
            <w:pPr>
              <w:jc w:val="left"/>
            </w:pPr>
            <w:r>
              <w:rPr>
                <w:rFonts w:ascii="Calibri" w:hAnsi="Calibri"/>
                <w:b/>
                <w:color w:val="F7F4EC"/>
                <w:sz w:val="19"/>
              </w:rPr>
              <w:t>Spatial Zone</w:t>
            </w:r>
          </w:p>
        </w:tc>
        <w:tc>
          <w:tcPr>
            <w:tcW w:type="dxa" w:w="1440"/>
            <w:shd w:fill="19382D"/>
            <w:tcMar>
              <w:top w:w="140" w:type="dxa"/>
              <w:bottom w:w="140" w:type="dxa"/>
              <w:left w:w="180" w:type="dxa"/>
              <w:right w:w="180" w:type="dxa"/>
            </w:tcMar>
          </w:tcPr>
          <w:p>
            <w:pPr>
              <w:jc w:val="left"/>
            </w:pPr>
            <w:r>
              <w:rPr>
                <w:rFonts w:ascii="Calibri" w:hAnsi="Calibri"/>
                <w:b/>
                <w:color w:val="F7F4EC"/>
                <w:sz w:val="19"/>
              </w:rPr>
              <w:t>Budget (US$)</w:t>
            </w:r>
          </w:p>
        </w:tc>
        <w:tc>
          <w:tcPr>
            <w:tcW w:type="dxa" w:w="1152"/>
            <w:shd w:fill="19382D"/>
            <w:tcMar>
              <w:top w:w="140" w:type="dxa"/>
              <w:bottom w:w="140" w:type="dxa"/>
              <w:left w:w="180" w:type="dxa"/>
              <w:right w:w="180" w:type="dxa"/>
            </w:tcMar>
          </w:tcPr>
          <w:p>
            <w:pPr>
              <w:jc w:val="left"/>
            </w:pPr>
            <w:r>
              <w:rPr>
                <w:rFonts w:ascii="Calibri" w:hAnsi="Calibri"/>
                <w:b/>
                <w:color w:val="F7F4EC"/>
                <w:sz w:val="19"/>
              </w:rPr>
              <w:t>Share (%)</w:t>
            </w:r>
          </w:p>
        </w:tc>
        <w:tc>
          <w:tcPr>
            <w:tcW w:type="dxa" w:w="3456"/>
            <w:shd w:fill="19382D"/>
            <w:tcMar>
              <w:top w:w="140" w:type="dxa"/>
              <w:bottom w:w="140" w:type="dxa"/>
              <w:left w:w="180" w:type="dxa"/>
              <w:right w:w="180" w:type="dxa"/>
            </w:tcMar>
          </w:tcPr>
          <w:p>
            <w:pPr>
              <w:jc w:val="left"/>
            </w:pPr>
            <w:r>
              <w:rPr>
                <w:rFonts w:ascii="Calibri" w:hAnsi="Calibri"/>
                <w:b/>
                <w:color w:val="F7F4EC"/>
                <w:sz w:val="19"/>
              </w:rPr>
              <w:t>Design &amp; Operational Role</w:t>
            </w:r>
          </w:p>
        </w:tc>
      </w:tr>
      <w:tr>
        <w:tc>
          <w:tcPr>
            <w:tcW w:type="dxa" w:w="2592"/>
            <w:shd w:fill="FFFFFF"/>
            <w:tcMar>
              <w:top w:w="100" w:type="dxa"/>
              <w:bottom w:w="100" w:type="dxa"/>
              <w:left w:w="160" w:type="dxa"/>
              <w:right w:w="160" w:type="dxa"/>
            </w:tcMar>
          </w:tcPr>
          <w:p>
            <w:pPr>
              <w:jc w:val="left"/>
            </w:pPr>
            <w:r>
              <w:rPr>
                <w:rFonts w:ascii="Calibri" w:hAnsi="Calibri"/>
                <w:color w:val="282C29"/>
                <w:sz w:val="18"/>
              </w:rPr>
              <w:t>Solar-Hybrid Microgrid</w:t>
            </w:r>
          </w:p>
        </w:tc>
        <w:tc>
          <w:tcPr>
            <w:tcW w:type="dxa" w:w="1440"/>
            <w:shd w:fill="FFFFFF"/>
            <w:tcMar>
              <w:top w:w="100" w:type="dxa"/>
              <w:bottom w:w="100" w:type="dxa"/>
              <w:left w:w="160" w:type="dxa"/>
              <w:right w:w="160" w:type="dxa"/>
            </w:tcMar>
          </w:tcPr>
          <w:p>
            <w:pPr>
              <w:jc w:val="left"/>
            </w:pPr>
            <w:r>
              <w:rPr>
                <w:rFonts w:ascii="Calibri" w:hAnsi="Calibri"/>
                <w:color w:val="282C29"/>
                <w:sz w:val="18"/>
              </w:rPr>
              <w:t>0.40 ha</w:t>
            </w:r>
          </w:p>
        </w:tc>
        <w:tc>
          <w:tcPr>
            <w:tcW w:type="dxa" w:w="1440"/>
            <w:shd w:fill="FFFFFF"/>
            <w:tcMar>
              <w:top w:w="100" w:type="dxa"/>
              <w:bottom w:w="100" w:type="dxa"/>
              <w:left w:w="160" w:type="dxa"/>
              <w:right w:w="160" w:type="dxa"/>
            </w:tcMar>
          </w:tcPr>
          <w:p>
            <w:pPr>
              <w:jc w:val="left"/>
            </w:pPr>
            <w:r>
              <w:rPr>
                <w:rFonts w:ascii="Calibri" w:hAnsi="Calibri"/>
                <w:color w:val="282C29"/>
                <w:sz w:val="18"/>
              </w:rPr>
              <w:t>$160,000</w:t>
            </w:r>
          </w:p>
        </w:tc>
        <w:tc>
          <w:tcPr>
            <w:tcW w:type="dxa" w:w="1152"/>
            <w:shd w:fill="FFFFFF"/>
            <w:tcMar>
              <w:top w:w="100" w:type="dxa"/>
              <w:bottom w:w="100" w:type="dxa"/>
              <w:left w:w="160" w:type="dxa"/>
              <w:right w:w="160" w:type="dxa"/>
            </w:tcMar>
          </w:tcPr>
          <w:p>
            <w:pPr>
              <w:jc w:val="left"/>
            </w:pPr>
            <w:r>
              <w:rPr>
                <w:rFonts w:ascii="Calibri" w:hAnsi="Calibri"/>
                <w:color w:val="282C29"/>
                <w:sz w:val="18"/>
              </w:rPr>
              <w:t>6.7%</w:t>
            </w:r>
          </w:p>
        </w:tc>
        <w:tc>
          <w:tcPr>
            <w:tcW w:type="dxa" w:w="3456"/>
            <w:shd w:fill="FFFFFF"/>
            <w:tcMar>
              <w:top w:w="100" w:type="dxa"/>
              <w:bottom w:w="100" w:type="dxa"/>
              <w:left w:w="160" w:type="dxa"/>
              <w:right w:w="160" w:type="dxa"/>
            </w:tcMar>
          </w:tcPr>
          <w:p>
            <w:pPr>
              <w:jc w:val="left"/>
            </w:pPr>
            <w:r>
              <w:rPr>
                <w:rFonts w:ascii="Calibri" w:hAnsi="Calibri"/>
                <w:color w:val="282C29"/>
                <w:sz w:val="18"/>
              </w:rPr>
              <w:t>60 kWp solar PV array, 120 kWh LiFePO4 batteries, smart cluster inverters.</w:t>
            </w:r>
          </w:p>
        </w:tc>
      </w:tr>
      <w:tr>
        <w:tc>
          <w:tcPr>
            <w:tcW w:type="dxa" w:w="2592"/>
            <w:shd w:fill="FAF8F5"/>
            <w:tcMar>
              <w:top w:w="100" w:type="dxa"/>
              <w:bottom w:w="100" w:type="dxa"/>
              <w:left w:w="160" w:type="dxa"/>
              <w:right w:w="160" w:type="dxa"/>
            </w:tcMar>
          </w:tcPr>
          <w:p>
            <w:pPr>
              <w:jc w:val="left"/>
            </w:pPr>
            <w:r>
              <w:rPr>
                <w:rFonts w:ascii="Calibri" w:hAnsi="Calibri"/>
                <w:color w:val="282C29"/>
                <w:sz w:val="18"/>
              </w:rPr>
              <w:t>Circular Biogas Digester</w:t>
            </w:r>
          </w:p>
        </w:tc>
        <w:tc>
          <w:tcPr>
            <w:tcW w:type="dxa" w:w="1440"/>
            <w:shd w:fill="FAF8F5"/>
            <w:tcMar>
              <w:top w:w="100" w:type="dxa"/>
              <w:bottom w:w="100" w:type="dxa"/>
              <w:left w:w="160" w:type="dxa"/>
              <w:right w:w="160" w:type="dxa"/>
            </w:tcMar>
          </w:tcPr>
          <w:p>
            <w:pPr>
              <w:jc w:val="left"/>
            </w:pPr>
            <w:r>
              <w:rPr>
                <w:rFonts w:ascii="Calibri" w:hAnsi="Calibri"/>
                <w:color w:val="282C29"/>
                <w:sz w:val="18"/>
              </w:rPr>
              <w:t>0.30 ha</w:t>
            </w:r>
          </w:p>
        </w:tc>
        <w:tc>
          <w:tcPr>
            <w:tcW w:type="dxa" w:w="1440"/>
            <w:shd w:fill="FAF8F5"/>
            <w:tcMar>
              <w:top w:w="100" w:type="dxa"/>
              <w:bottom w:w="100" w:type="dxa"/>
              <w:left w:w="160" w:type="dxa"/>
              <w:right w:w="160" w:type="dxa"/>
            </w:tcMar>
          </w:tcPr>
          <w:p>
            <w:pPr>
              <w:jc w:val="left"/>
            </w:pPr>
            <w:r>
              <w:rPr>
                <w:rFonts w:ascii="Calibri" w:hAnsi="Calibri"/>
                <w:color w:val="282C29"/>
                <w:sz w:val="18"/>
              </w:rPr>
              <w:t>$80,000</w:t>
            </w:r>
          </w:p>
        </w:tc>
        <w:tc>
          <w:tcPr>
            <w:tcW w:type="dxa" w:w="1152"/>
            <w:shd w:fill="FAF8F5"/>
            <w:tcMar>
              <w:top w:w="100" w:type="dxa"/>
              <w:bottom w:w="100" w:type="dxa"/>
              <w:left w:w="160" w:type="dxa"/>
              <w:right w:w="160" w:type="dxa"/>
            </w:tcMar>
          </w:tcPr>
          <w:p>
            <w:pPr>
              <w:jc w:val="left"/>
            </w:pPr>
            <w:r>
              <w:rPr>
                <w:rFonts w:ascii="Calibri" w:hAnsi="Calibri"/>
                <w:color w:val="282C29"/>
                <w:sz w:val="18"/>
              </w:rPr>
              <w:t>3.3%</w:t>
            </w:r>
          </w:p>
        </w:tc>
        <w:tc>
          <w:tcPr>
            <w:tcW w:type="dxa" w:w="3456"/>
            <w:shd w:fill="FAF8F5"/>
            <w:tcMar>
              <w:top w:w="100" w:type="dxa"/>
              <w:bottom w:w="100" w:type="dxa"/>
              <w:left w:w="160" w:type="dxa"/>
              <w:right w:w="160" w:type="dxa"/>
            </w:tcMar>
          </w:tcPr>
          <w:p>
            <w:pPr>
              <w:jc w:val="left"/>
            </w:pPr>
            <w:r>
              <w:rPr>
                <w:rFonts w:ascii="Calibri" w:hAnsi="Calibri"/>
                <w:color w:val="282C29"/>
                <w:sz w:val="18"/>
              </w:rPr>
              <w:t>Anaerobic biodigester converting manure &amp; kitchen waste into cooking gas &amp; bio-slurry.</w:t>
            </w:r>
          </w:p>
        </w:tc>
      </w:tr>
      <w:tr>
        <w:tc>
          <w:tcPr>
            <w:tcW w:type="dxa" w:w="2592"/>
            <w:shd w:fill="FFFFFF"/>
            <w:tcMar>
              <w:top w:w="100" w:type="dxa"/>
              <w:bottom w:w="100" w:type="dxa"/>
              <w:left w:w="160" w:type="dxa"/>
              <w:right w:w="160" w:type="dxa"/>
            </w:tcMar>
          </w:tcPr>
          <w:p>
            <w:pPr>
              <w:jc w:val="left"/>
            </w:pPr>
            <w:r>
              <w:rPr>
                <w:rFonts w:ascii="Calibri" w:hAnsi="Calibri"/>
                <w:color w:val="282C29"/>
                <w:sz w:val="18"/>
              </w:rPr>
              <w:t>Hydrology &amp; Precision Drip</w:t>
            </w:r>
          </w:p>
        </w:tc>
        <w:tc>
          <w:tcPr>
            <w:tcW w:type="dxa" w:w="1440"/>
            <w:shd w:fill="FFFFFF"/>
            <w:tcMar>
              <w:top w:w="100" w:type="dxa"/>
              <w:bottom w:w="100" w:type="dxa"/>
              <w:left w:w="160" w:type="dxa"/>
              <w:right w:w="160" w:type="dxa"/>
            </w:tcMar>
          </w:tcPr>
          <w:p>
            <w:pPr>
              <w:jc w:val="left"/>
            </w:pPr>
            <w:r>
              <w:rPr>
                <w:rFonts w:ascii="Calibri" w:hAnsi="Calibri"/>
                <w:color w:val="282C29"/>
                <w:sz w:val="18"/>
              </w:rPr>
              <w:t>5.30 ha</w:t>
            </w:r>
          </w:p>
        </w:tc>
        <w:tc>
          <w:tcPr>
            <w:tcW w:type="dxa" w:w="1440"/>
            <w:shd w:fill="FFFFFF"/>
            <w:tcMar>
              <w:top w:w="100" w:type="dxa"/>
              <w:bottom w:w="100" w:type="dxa"/>
              <w:left w:w="160" w:type="dxa"/>
              <w:right w:w="160" w:type="dxa"/>
            </w:tcMar>
          </w:tcPr>
          <w:p>
            <w:pPr>
              <w:jc w:val="left"/>
            </w:pPr>
            <w:r>
              <w:rPr>
                <w:rFonts w:ascii="Calibri" w:hAnsi="Calibri"/>
                <w:color w:val="282C29"/>
                <w:sz w:val="18"/>
              </w:rPr>
              <w:t>$240,000</w:t>
            </w:r>
          </w:p>
        </w:tc>
        <w:tc>
          <w:tcPr>
            <w:tcW w:type="dxa" w:w="1152"/>
            <w:shd w:fill="FFFFFF"/>
            <w:tcMar>
              <w:top w:w="100" w:type="dxa"/>
              <w:bottom w:w="100" w:type="dxa"/>
              <w:left w:w="160" w:type="dxa"/>
              <w:right w:w="160" w:type="dxa"/>
            </w:tcMar>
          </w:tcPr>
          <w:p>
            <w:pPr>
              <w:jc w:val="left"/>
            </w:pPr>
            <w:r>
              <w:rPr>
                <w:rFonts w:ascii="Calibri" w:hAnsi="Calibri"/>
                <w:color w:val="282C29"/>
                <w:sz w:val="18"/>
              </w:rPr>
              <w:t>10.0%</w:t>
            </w:r>
          </w:p>
        </w:tc>
        <w:tc>
          <w:tcPr>
            <w:tcW w:type="dxa" w:w="3456"/>
            <w:shd w:fill="FFFFFF"/>
            <w:tcMar>
              <w:top w:w="100" w:type="dxa"/>
              <w:bottom w:w="100" w:type="dxa"/>
              <w:left w:w="160" w:type="dxa"/>
              <w:right w:w="160" w:type="dxa"/>
            </w:tcMar>
          </w:tcPr>
          <w:p>
            <w:pPr>
              <w:jc w:val="left"/>
            </w:pPr>
            <w:r>
              <w:rPr>
                <w:rFonts w:ascii="Calibri" w:hAnsi="Calibri"/>
                <w:color w:val="282C29"/>
                <w:sz w:val="18"/>
              </w:rPr>
              <w:t>10k L/hr solar borehole, 200kL storage, automated drip across 5.3 ha, greywater wetlands.</w:t>
            </w:r>
          </w:p>
        </w:tc>
      </w:tr>
      <w:tr>
        <w:tc>
          <w:tcPr>
            <w:tcW w:type="dxa" w:w="2592"/>
            <w:shd w:fill="FAF8F5"/>
            <w:tcMar>
              <w:top w:w="100" w:type="dxa"/>
              <w:bottom w:w="100" w:type="dxa"/>
              <w:left w:w="160" w:type="dxa"/>
              <w:right w:w="160" w:type="dxa"/>
            </w:tcMar>
          </w:tcPr>
          <w:p>
            <w:pPr>
              <w:jc w:val="left"/>
            </w:pPr>
            <w:r>
              <w:rPr>
                <w:rFonts w:ascii="Calibri" w:hAnsi="Calibri"/>
                <w:color w:val="282C29"/>
                <w:sz w:val="18"/>
              </w:rPr>
              <w:t>Farmland Landscaping &amp; Swales</w:t>
            </w:r>
          </w:p>
        </w:tc>
        <w:tc>
          <w:tcPr>
            <w:tcW w:type="dxa" w:w="1440"/>
            <w:shd w:fill="FAF8F5"/>
            <w:tcMar>
              <w:top w:w="100" w:type="dxa"/>
              <w:bottom w:w="100" w:type="dxa"/>
              <w:left w:w="160" w:type="dxa"/>
              <w:right w:w="160" w:type="dxa"/>
            </w:tcMar>
          </w:tcPr>
          <w:p>
            <w:pPr>
              <w:jc w:val="left"/>
            </w:pPr>
            <w:r>
              <w:rPr>
                <w:rFonts w:ascii="Calibri" w:hAnsi="Calibri"/>
                <w:color w:val="282C29"/>
                <w:sz w:val="18"/>
              </w:rPr>
              <w:t>2.50 ha</w:t>
            </w:r>
          </w:p>
        </w:tc>
        <w:tc>
          <w:tcPr>
            <w:tcW w:type="dxa" w:w="1440"/>
            <w:shd w:fill="FAF8F5"/>
            <w:tcMar>
              <w:top w:w="100" w:type="dxa"/>
              <w:bottom w:w="100" w:type="dxa"/>
              <w:left w:w="160" w:type="dxa"/>
              <w:right w:w="160" w:type="dxa"/>
            </w:tcMar>
          </w:tcPr>
          <w:p>
            <w:pPr>
              <w:jc w:val="left"/>
            </w:pPr>
            <w:r>
              <w:rPr>
                <w:rFonts w:ascii="Calibri" w:hAnsi="Calibri"/>
                <w:color w:val="282C29"/>
                <w:sz w:val="18"/>
              </w:rPr>
              <w:t>$120,000</w:t>
            </w:r>
          </w:p>
        </w:tc>
        <w:tc>
          <w:tcPr>
            <w:tcW w:type="dxa" w:w="1152"/>
            <w:shd w:fill="FAF8F5"/>
            <w:tcMar>
              <w:top w:w="100" w:type="dxa"/>
              <w:bottom w:w="100" w:type="dxa"/>
              <w:left w:w="160" w:type="dxa"/>
              <w:right w:w="160" w:type="dxa"/>
            </w:tcMar>
          </w:tcPr>
          <w:p>
            <w:pPr>
              <w:jc w:val="left"/>
            </w:pPr>
            <w:r>
              <w:rPr>
                <w:rFonts w:ascii="Calibri" w:hAnsi="Calibri"/>
                <w:color w:val="282C29"/>
                <w:sz w:val="18"/>
              </w:rPr>
              <w:t>5.0%</w:t>
            </w:r>
          </w:p>
        </w:tc>
        <w:tc>
          <w:tcPr>
            <w:tcW w:type="dxa" w:w="3456"/>
            <w:shd w:fill="FAF8F5"/>
            <w:tcMar>
              <w:top w:w="100" w:type="dxa"/>
              <w:bottom w:w="100" w:type="dxa"/>
              <w:left w:w="160" w:type="dxa"/>
              <w:right w:w="160" w:type="dxa"/>
            </w:tcMar>
          </w:tcPr>
          <w:p>
            <w:pPr>
              <w:jc w:val="left"/>
            </w:pPr>
            <w:r>
              <w:rPr>
                <w:rFonts w:ascii="Calibri" w:hAnsi="Calibri"/>
                <w:color w:val="282C29"/>
                <w:sz w:val="18"/>
              </w:rPr>
              <w:t>Keyline swales for moisture retention, acacia windbreaks, citrus &amp; avocado orchards.</w:t>
            </w:r>
          </w:p>
        </w:tc>
      </w:tr>
      <w:tr>
        <w:tc>
          <w:tcPr>
            <w:tcW w:type="dxa" w:w="2592"/>
            <w:shd w:fill="FFFFFF"/>
            <w:tcMar>
              <w:top w:w="100" w:type="dxa"/>
              <w:bottom w:w="100" w:type="dxa"/>
              <w:left w:w="160" w:type="dxa"/>
              <w:right w:w="160" w:type="dxa"/>
            </w:tcMar>
          </w:tcPr>
          <w:p>
            <w:pPr>
              <w:jc w:val="left"/>
            </w:pPr>
            <w:r>
              <w:rPr>
                <w:rFonts w:ascii="Calibri" w:hAnsi="Calibri"/>
                <w:color w:val="282C29"/>
                <w:sz w:val="18"/>
              </w:rPr>
              <w:t>Animal Structures &amp; Apiary</w:t>
            </w:r>
          </w:p>
        </w:tc>
        <w:tc>
          <w:tcPr>
            <w:tcW w:type="dxa" w:w="1440"/>
            <w:shd w:fill="FFFFFF"/>
            <w:tcMar>
              <w:top w:w="100" w:type="dxa"/>
              <w:bottom w:w="100" w:type="dxa"/>
              <w:left w:w="160" w:type="dxa"/>
              <w:right w:w="160" w:type="dxa"/>
            </w:tcMar>
          </w:tcPr>
          <w:p>
            <w:pPr>
              <w:jc w:val="left"/>
            </w:pPr>
            <w:r>
              <w:rPr>
                <w:rFonts w:ascii="Calibri" w:hAnsi="Calibri"/>
                <w:color w:val="282C29"/>
                <w:sz w:val="18"/>
              </w:rPr>
              <w:t>1.80 ha</w:t>
            </w:r>
          </w:p>
        </w:tc>
        <w:tc>
          <w:tcPr>
            <w:tcW w:type="dxa" w:w="1440"/>
            <w:shd w:fill="FFFFFF"/>
            <w:tcMar>
              <w:top w:w="100" w:type="dxa"/>
              <w:bottom w:w="100" w:type="dxa"/>
              <w:left w:w="160" w:type="dxa"/>
              <w:right w:w="160" w:type="dxa"/>
            </w:tcMar>
          </w:tcPr>
          <w:p>
            <w:pPr>
              <w:jc w:val="left"/>
            </w:pPr>
            <w:r>
              <w:rPr>
                <w:rFonts w:ascii="Calibri" w:hAnsi="Calibri"/>
                <w:color w:val="282C29"/>
                <w:sz w:val="18"/>
              </w:rPr>
              <w:t>$80,000</w:t>
            </w:r>
          </w:p>
        </w:tc>
        <w:tc>
          <w:tcPr>
            <w:tcW w:type="dxa" w:w="1152"/>
            <w:shd w:fill="FFFFFF"/>
            <w:tcMar>
              <w:top w:w="100" w:type="dxa"/>
              <w:bottom w:w="100" w:type="dxa"/>
              <w:left w:w="160" w:type="dxa"/>
              <w:right w:w="160" w:type="dxa"/>
            </w:tcMar>
          </w:tcPr>
          <w:p>
            <w:pPr>
              <w:jc w:val="left"/>
            </w:pPr>
            <w:r>
              <w:rPr>
                <w:rFonts w:ascii="Calibri" w:hAnsi="Calibri"/>
                <w:color w:val="282C29"/>
                <w:sz w:val="18"/>
              </w:rPr>
              <w:t>3.3%</w:t>
            </w:r>
          </w:p>
        </w:tc>
        <w:tc>
          <w:tcPr>
            <w:tcW w:type="dxa" w:w="3456"/>
            <w:shd w:fill="FFFFFF"/>
            <w:tcMar>
              <w:top w:w="100" w:type="dxa"/>
              <w:bottom w:w="100" w:type="dxa"/>
              <w:left w:w="160" w:type="dxa"/>
              <w:right w:w="160" w:type="dxa"/>
            </w:tcMar>
          </w:tcPr>
          <w:p>
            <w:pPr>
              <w:jc w:val="left"/>
            </w:pPr>
            <w:r>
              <w:rPr>
                <w:rFonts w:ascii="Calibri" w:hAnsi="Calibri"/>
                <w:color w:val="282C29"/>
                <w:sz w:val="18"/>
              </w:rPr>
              <w:t>Rotational sheep paddocks, poultry houses, dairy milking station, 40+ Langstroth hives.</w:t>
            </w:r>
          </w:p>
        </w:tc>
      </w:tr>
      <w:tr>
        <w:tc>
          <w:tcPr>
            <w:tcW w:type="dxa" w:w="2592"/>
            <w:shd w:fill="FAF8F5"/>
            <w:tcMar>
              <w:top w:w="100" w:type="dxa"/>
              <w:bottom w:w="100" w:type="dxa"/>
              <w:left w:w="160" w:type="dxa"/>
              <w:right w:w="160" w:type="dxa"/>
            </w:tcMar>
          </w:tcPr>
          <w:p>
            <w:pPr>
              <w:jc w:val="left"/>
            </w:pPr>
            <w:r>
              <w:rPr>
                <w:rFonts w:ascii="Calibri" w:hAnsi="Calibri"/>
                <w:color w:val="282C29"/>
                <w:sz w:val="18"/>
              </w:rPr>
              <w:t>Farm Machinery &amp; Clean Fleet</w:t>
            </w:r>
          </w:p>
        </w:tc>
        <w:tc>
          <w:tcPr>
            <w:tcW w:type="dxa" w:w="1440"/>
            <w:shd w:fill="FAF8F5"/>
            <w:tcMar>
              <w:top w:w="100" w:type="dxa"/>
              <w:bottom w:w="100" w:type="dxa"/>
              <w:left w:w="160" w:type="dxa"/>
              <w:right w:w="160" w:type="dxa"/>
            </w:tcMar>
          </w:tcPr>
          <w:p>
            <w:pPr>
              <w:jc w:val="left"/>
            </w:pPr>
            <w:r>
              <w:rPr>
                <w:rFonts w:ascii="Calibri" w:hAnsi="Calibri"/>
                <w:color w:val="282C29"/>
                <w:sz w:val="18"/>
              </w:rPr>
              <w:t>0.20 ha</w:t>
            </w:r>
          </w:p>
        </w:tc>
        <w:tc>
          <w:tcPr>
            <w:tcW w:type="dxa" w:w="1440"/>
            <w:shd w:fill="FAF8F5"/>
            <w:tcMar>
              <w:top w:w="100" w:type="dxa"/>
              <w:bottom w:w="100" w:type="dxa"/>
              <w:left w:w="160" w:type="dxa"/>
              <w:right w:w="160" w:type="dxa"/>
            </w:tcMar>
          </w:tcPr>
          <w:p>
            <w:pPr>
              <w:jc w:val="left"/>
            </w:pPr>
            <w:r>
              <w:rPr>
                <w:rFonts w:ascii="Calibri" w:hAnsi="Calibri"/>
                <w:color w:val="282C29"/>
                <w:sz w:val="18"/>
              </w:rPr>
              <w:t>$60,000</w:t>
            </w:r>
          </w:p>
        </w:tc>
        <w:tc>
          <w:tcPr>
            <w:tcW w:type="dxa" w:w="1152"/>
            <w:shd w:fill="FAF8F5"/>
            <w:tcMar>
              <w:top w:w="100" w:type="dxa"/>
              <w:bottom w:w="100" w:type="dxa"/>
              <w:left w:w="160" w:type="dxa"/>
              <w:right w:w="160" w:type="dxa"/>
            </w:tcMar>
          </w:tcPr>
          <w:p>
            <w:pPr>
              <w:jc w:val="left"/>
            </w:pPr>
            <w:r>
              <w:rPr>
                <w:rFonts w:ascii="Calibri" w:hAnsi="Calibri"/>
                <w:color w:val="282C29"/>
                <w:sz w:val="18"/>
              </w:rPr>
              <w:t>2.5%</w:t>
            </w:r>
          </w:p>
        </w:tc>
        <w:tc>
          <w:tcPr>
            <w:tcW w:type="dxa" w:w="3456"/>
            <w:shd w:fill="FAF8F5"/>
            <w:tcMar>
              <w:top w:w="100" w:type="dxa"/>
              <w:bottom w:w="100" w:type="dxa"/>
              <w:left w:w="160" w:type="dxa"/>
              <w:right w:w="160" w:type="dxa"/>
            </w:tcMar>
          </w:tcPr>
          <w:p>
            <w:pPr>
              <w:jc w:val="left"/>
            </w:pPr>
            <w:r>
              <w:rPr>
                <w:rFonts w:ascii="Calibri" w:hAnsi="Calibri"/>
                <w:color w:val="282C29"/>
                <w:sz w:val="18"/>
              </w:rPr>
              <w:t>Depot, compact tractors, compost spreaders, solar charging, electric utility buggies.</w:t>
            </w:r>
          </w:p>
        </w:tc>
      </w:tr>
      <w:tr>
        <w:tc>
          <w:tcPr>
            <w:tcW w:type="dxa" w:w="2592"/>
            <w:shd w:fill="FFFFFF"/>
            <w:tcMar>
              <w:top w:w="100" w:type="dxa"/>
              <w:bottom w:w="100" w:type="dxa"/>
              <w:left w:w="160" w:type="dxa"/>
              <w:right w:w="160" w:type="dxa"/>
            </w:tcMar>
          </w:tcPr>
          <w:p>
            <w:pPr>
              <w:jc w:val="left"/>
            </w:pPr>
            <w:r>
              <w:rPr>
                <w:rFonts w:ascii="Calibri" w:hAnsi="Calibri"/>
                <w:color w:val="282C29"/>
                <w:sz w:val="18"/>
              </w:rPr>
              <w:t>Catering Kitchen &amp; Bakery</w:t>
            </w:r>
          </w:p>
        </w:tc>
        <w:tc>
          <w:tcPr>
            <w:tcW w:type="dxa" w:w="1440"/>
            <w:shd w:fill="FFFFFF"/>
            <w:tcMar>
              <w:top w:w="100" w:type="dxa"/>
              <w:bottom w:w="100" w:type="dxa"/>
              <w:left w:w="160" w:type="dxa"/>
              <w:right w:w="160" w:type="dxa"/>
            </w:tcMar>
          </w:tcPr>
          <w:p>
            <w:pPr>
              <w:jc w:val="left"/>
            </w:pPr>
            <w:r>
              <w:rPr>
                <w:rFonts w:ascii="Calibri" w:hAnsi="Calibri"/>
                <w:color w:val="282C29"/>
                <w:sz w:val="18"/>
              </w:rPr>
              <w:t>0.40 ha</w:t>
            </w:r>
          </w:p>
        </w:tc>
        <w:tc>
          <w:tcPr>
            <w:tcW w:type="dxa" w:w="1440"/>
            <w:shd w:fill="FFFFFF"/>
            <w:tcMar>
              <w:top w:w="100" w:type="dxa"/>
              <w:bottom w:w="100" w:type="dxa"/>
              <w:left w:w="160" w:type="dxa"/>
              <w:right w:w="160" w:type="dxa"/>
            </w:tcMar>
          </w:tcPr>
          <w:p>
            <w:pPr>
              <w:jc w:val="left"/>
            </w:pPr>
            <w:r>
              <w:rPr>
                <w:rFonts w:ascii="Calibri" w:hAnsi="Calibri"/>
                <w:color w:val="282C29"/>
                <w:sz w:val="18"/>
              </w:rPr>
              <w:t>$160,000</w:t>
            </w:r>
          </w:p>
        </w:tc>
        <w:tc>
          <w:tcPr>
            <w:tcW w:type="dxa" w:w="1152"/>
            <w:shd w:fill="FFFFFF"/>
            <w:tcMar>
              <w:top w:w="100" w:type="dxa"/>
              <w:bottom w:w="100" w:type="dxa"/>
              <w:left w:w="160" w:type="dxa"/>
              <w:right w:w="160" w:type="dxa"/>
            </w:tcMar>
          </w:tcPr>
          <w:p>
            <w:pPr>
              <w:jc w:val="left"/>
            </w:pPr>
            <w:r>
              <w:rPr>
                <w:rFonts w:ascii="Calibri" w:hAnsi="Calibri"/>
                <w:color w:val="282C29"/>
                <w:sz w:val="18"/>
              </w:rPr>
              <w:t>6.7%</w:t>
            </w:r>
          </w:p>
        </w:tc>
        <w:tc>
          <w:tcPr>
            <w:tcW w:type="dxa" w:w="3456"/>
            <w:shd w:fill="FFFFFF"/>
            <w:tcMar>
              <w:top w:w="100" w:type="dxa"/>
              <w:bottom w:w="100" w:type="dxa"/>
              <w:left w:w="160" w:type="dxa"/>
              <w:right w:w="160" w:type="dxa"/>
            </w:tcMar>
          </w:tcPr>
          <w:p>
            <w:pPr>
              <w:jc w:val="left"/>
            </w:pPr>
            <w:r>
              <w:rPr>
                <w:rFonts w:ascii="Calibri" w:hAnsi="Calibri"/>
                <w:color w:val="282C29"/>
                <w:sz w:val="18"/>
              </w:rPr>
              <w:t>Commercial lodge kitchen, sourdough hearth bakery, solar cold storage, curing larder.</w:t>
            </w:r>
          </w:p>
        </w:tc>
      </w:tr>
      <w:tr>
        <w:tc>
          <w:tcPr>
            <w:tcW w:type="dxa" w:w="2592"/>
            <w:shd w:fill="FAF8F5"/>
            <w:tcMar>
              <w:top w:w="100" w:type="dxa"/>
              <w:bottom w:w="100" w:type="dxa"/>
              <w:left w:w="160" w:type="dxa"/>
              <w:right w:w="160" w:type="dxa"/>
            </w:tcMar>
          </w:tcPr>
          <w:p>
            <w:pPr>
              <w:jc w:val="left"/>
            </w:pPr>
            <w:r>
              <w:rPr>
                <w:rFonts w:ascii="Calibri" w:hAnsi="Calibri"/>
                <w:color w:val="282C29"/>
                <w:sz w:val="18"/>
              </w:rPr>
              <w:t>Farm Produce Sale Shop</w:t>
            </w:r>
          </w:p>
        </w:tc>
        <w:tc>
          <w:tcPr>
            <w:tcW w:type="dxa" w:w="1440"/>
            <w:shd w:fill="FAF8F5"/>
            <w:tcMar>
              <w:top w:w="100" w:type="dxa"/>
              <w:bottom w:w="100" w:type="dxa"/>
              <w:left w:w="160" w:type="dxa"/>
              <w:right w:w="160" w:type="dxa"/>
            </w:tcMar>
          </w:tcPr>
          <w:p>
            <w:pPr>
              <w:jc w:val="left"/>
            </w:pPr>
            <w:r>
              <w:rPr>
                <w:rFonts w:ascii="Calibri" w:hAnsi="Calibri"/>
                <w:color w:val="282C29"/>
                <w:sz w:val="18"/>
              </w:rPr>
              <w:t>0.30 ha</w:t>
            </w:r>
          </w:p>
        </w:tc>
        <w:tc>
          <w:tcPr>
            <w:tcW w:type="dxa" w:w="1440"/>
            <w:shd w:fill="FAF8F5"/>
            <w:tcMar>
              <w:top w:w="100" w:type="dxa"/>
              <w:bottom w:w="100" w:type="dxa"/>
              <w:left w:w="160" w:type="dxa"/>
              <w:right w:w="160" w:type="dxa"/>
            </w:tcMar>
          </w:tcPr>
          <w:p>
            <w:pPr>
              <w:jc w:val="left"/>
            </w:pPr>
            <w:r>
              <w:rPr>
                <w:rFonts w:ascii="Calibri" w:hAnsi="Calibri"/>
                <w:color w:val="282C29"/>
                <w:sz w:val="18"/>
              </w:rPr>
              <w:t>$80,000</w:t>
            </w:r>
          </w:p>
        </w:tc>
        <w:tc>
          <w:tcPr>
            <w:tcW w:type="dxa" w:w="1152"/>
            <w:shd w:fill="FAF8F5"/>
            <w:tcMar>
              <w:top w:w="100" w:type="dxa"/>
              <w:bottom w:w="100" w:type="dxa"/>
              <w:left w:w="160" w:type="dxa"/>
              <w:right w:w="160" w:type="dxa"/>
            </w:tcMar>
          </w:tcPr>
          <w:p>
            <w:pPr>
              <w:jc w:val="left"/>
            </w:pPr>
            <w:r>
              <w:rPr>
                <w:rFonts w:ascii="Calibri" w:hAnsi="Calibri"/>
                <w:color w:val="282C29"/>
                <w:sz w:val="18"/>
              </w:rPr>
              <w:t>3.3%</w:t>
            </w:r>
          </w:p>
        </w:tc>
        <w:tc>
          <w:tcPr>
            <w:tcW w:type="dxa" w:w="3456"/>
            <w:shd w:fill="FAF8F5"/>
            <w:tcMar>
              <w:top w:w="100" w:type="dxa"/>
              <w:bottom w:w="100" w:type="dxa"/>
              <w:left w:w="160" w:type="dxa"/>
              <w:right w:w="160" w:type="dxa"/>
            </w:tcMar>
          </w:tcPr>
          <w:p>
            <w:pPr>
              <w:jc w:val="left"/>
            </w:pPr>
            <w:r>
              <w:rPr>
                <w:rFonts w:ascii="Calibri" w:hAnsi="Calibri"/>
                <w:color w:val="282C29"/>
                <w:sz w:val="18"/>
              </w:rPr>
              <w:t>On-site boutique retail shop selling honey, cold-pressed oils, herbal teas, preserves.</w:t>
            </w:r>
          </w:p>
        </w:tc>
      </w:tr>
      <w:tr>
        <w:tc>
          <w:tcPr>
            <w:tcW w:type="dxa" w:w="2592"/>
            <w:shd w:fill="FFFFFF"/>
            <w:tcMar>
              <w:top w:w="100" w:type="dxa"/>
              <w:bottom w:w="100" w:type="dxa"/>
              <w:left w:w="160" w:type="dxa"/>
              <w:right w:w="160" w:type="dxa"/>
            </w:tcMar>
          </w:tcPr>
          <w:p>
            <w:pPr>
              <w:jc w:val="left"/>
            </w:pPr>
            <w:r>
              <w:rPr>
                <w:rFonts w:ascii="Calibri" w:hAnsi="Calibri"/>
                <w:color w:val="282C29"/>
                <w:sz w:val="18"/>
              </w:rPr>
              <w:t>SUBTOTAL GREEN ASSETS</w:t>
            </w:r>
          </w:p>
        </w:tc>
        <w:tc>
          <w:tcPr>
            <w:tcW w:type="dxa" w:w="1440"/>
            <w:shd w:fill="FFFFFF"/>
            <w:tcMar>
              <w:top w:w="100" w:type="dxa"/>
              <w:bottom w:w="100" w:type="dxa"/>
              <w:left w:w="160" w:type="dxa"/>
              <w:right w:w="160" w:type="dxa"/>
            </w:tcMar>
          </w:tcPr>
          <w:p>
            <w:pPr>
              <w:jc w:val="left"/>
            </w:pPr>
            <w:r>
              <w:rPr>
                <w:rFonts w:ascii="Calibri" w:hAnsi="Calibri"/>
                <w:color w:val="282C29"/>
                <w:sz w:val="18"/>
              </w:rPr>
              <w:t>11.20 ha (Shared)</w:t>
            </w:r>
          </w:p>
        </w:tc>
        <w:tc>
          <w:tcPr>
            <w:tcW w:type="dxa" w:w="1440"/>
            <w:shd w:fill="FFFFFF"/>
            <w:tcMar>
              <w:top w:w="100" w:type="dxa"/>
              <w:bottom w:w="100" w:type="dxa"/>
              <w:left w:w="160" w:type="dxa"/>
              <w:right w:w="160" w:type="dxa"/>
            </w:tcMar>
          </w:tcPr>
          <w:p>
            <w:pPr>
              <w:jc w:val="left"/>
            </w:pPr>
            <w:r>
              <w:rPr>
                <w:rFonts w:ascii="Calibri" w:hAnsi="Calibri"/>
                <w:color w:val="282C29"/>
                <w:sz w:val="18"/>
              </w:rPr>
              <w:t>$980,000</w:t>
            </w:r>
          </w:p>
        </w:tc>
        <w:tc>
          <w:tcPr>
            <w:tcW w:type="dxa" w:w="1152"/>
            <w:shd w:fill="FFFFFF"/>
            <w:tcMar>
              <w:top w:w="100" w:type="dxa"/>
              <w:bottom w:w="100" w:type="dxa"/>
              <w:left w:w="160" w:type="dxa"/>
              <w:right w:w="160" w:type="dxa"/>
            </w:tcMar>
          </w:tcPr>
          <w:p>
            <w:pPr>
              <w:jc w:val="left"/>
            </w:pPr>
            <w:r>
              <w:rPr>
                <w:rFonts w:ascii="Calibri" w:hAnsi="Calibri"/>
                <w:color w:val="282C29"/>
                <w:sz w:val="18"/>
              </w:rPr>
              <w:t>40.8%</w:t>
            </w:r>
          </w:p>
        </w:tc>
        <w:tc>
          <w:tcPr>
            <w:tcW w:type="dxa" w:w="3456"/>
            <w:shd w:fill="FFFFFF"/>
            <w:tcMar>
              <w:top w:w="100" w:type="dxa"/>
              <w:bottom w:w="100" w:type="dxa"/>
              <w:left w:w="160" w:type="dxa"/>
              <w:right w:w="160" w:type="dxa"/>
            </w:tcMar>
          </w:tcPr>
          <w:p>
            <w:pPr>
              <w:jc w:val="left"/>
            </w:pPr>
            <w:r>
              <w:rPr>
                <w:rFonts w:ascii="Calibri" w:hAnsi="Calibri"/>
                <w:color w:val="282C29"/>
                <w:sz w:val="18"/>
              </w:rPr>
              <w:t>Closed-loop circular engine reducing lodge opex by over 35%.</w:t>
            </w:r>
          </w:p>
        </w:tc>
      </w:tr>
    </w:tbl>
    <w:p>
      <w:pPr>
        <w:spacing w:before="80" w:after="160"/>
      </w:pPr>
    </w:p>
    <w:p>
      <w:pPr>
        <w:pStyle w:val="Heading2"/>
      </w:pPr>
      <w:r>
        <w:rPr>
          <w:b/>
          <w:color w:val="1B4332"/>
        </w:rPr>
        <w:t>Strategic Conservation Geography &amp; Wildlife Corridor Permeability</w:t>
      </w:r>
    </w:p>
    <w:p>
      <w:pPr>
        <w:spacing w:after="160"/>
      </w:pPr>
      <w:r>
        <w:t>Segera borders major neighboring wildlife zones in the Laikipia ecosystem, including the Lewa Wildlife Conservancy and Ol Pejeta Conservancy, which are globally recognized strongholds for rhinos and large predators. In strict deference to this regional ecosystem, Jonik Ndovu Farm adopts a corridor-permeable landscape architecture. Rather than hard fortress perimeter fencing that obstructs migratory pathways, the masterplan utilizes vegetative shelterbelts, contour bioswales, and natural apiary bee deterrents around productive kitchen gardens. This design allows regional plains game and elephants to transit the landscape naturally while fully safeguarding guest serenity and organic harvests.</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69696"/>
        <w:sz w:val="16"/>
      </w:rPr>
      <w:t>CONFIDENTIAL — FOR QUALIFIED INVESTOR REVIEW ONLY — SEGERA, LAIKIPIA, KENYA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A88B65"/>
        <w:sz w:val="16"/>
      </w:rPr>
      <w:t>JONIK NDOVU FARM · DOC-05 · TIER 3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