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A88B65"/>
          <w:sz w:val="18"/>
        </w:rPr>
        <w:t>JONIK NDOVU FARM INVESTOR PACKAGE · DUE DILIGENCE</w:t>
      </w:r>
    </w:p>
    <w:p>
      <w:pPr>
        <w:spacing w:before="40" w:after="80"/>
      </w:pPr>
      <w:r>
        <w:rPr>
          <w:rFonts w:ascii="Georgia" w:hAnsi="Georgia"/>
          <w:b/>
          <w:color w:val="19382D"/>
          <w:sz w:val="44"/>
        </w:rPr>
        <w:t>Investor Frequently Asked Questions (FAQ)</w:t>
      </w:r>
    </w:p>
    <w:p>
      <w:pPr>
        <w:spacing w:before="0" w:after="280"/>
      </w:pPr>
      <w:r>
        <w:rPr>
          <w:rFonts w:ascii="Calibri" w:hAnsi="Calibri"/>
          <w:color w:val="646464"/>
          <w:sz w:val="21"/>
        </w:rPr>
        <w:t>Authoritative Answers to 20 Critical Commercial, Technical, and Governance Diligence Inquiries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19382D"/>
            <w:tcMar>
              <w:top w:w="140" w:type="dxa"/>
              <w:bottom w:w="140" w:type="dxa"/>
              <w:left w:w="180" w:type="dxa"/>
              <w:right w:w="180" w:type="dxa"/>
            </w:tcMar>
          </w:tcPr>
          <w:p>
            <w:pPr>
              <w:jc w:val="left"/>
            </w:pPr>
            <w:r>
              <w:rPr>
                <w:rFonts w:ascii="Calibri" w:hAnsi="Calibri"/>
                <w:b/>
                <w:color w:val="F7F4EC"/>
                <w:sz w:val="19"/>
              </w:rPr>
              <w:t>Document ID</w:t>
            </w:r>
          </w:p>
        </w:tc>
        <w:tc>
          <w:tcPr>
            <w:tcW w:type="dxa" w:w="1728"/>
            <w:shd w:fill="19382D"/>
            <w:tcMar>
              <w:top w:w="140" w:type="dxa"/>
              <w:bottom w:w="140" w:type="dxa"/>
              <w:left w:w="180" w:type="dxa"/>
              <w:right w:w="180" w:type="dxa"/>
            </w:tcMar>
          </w:tcPr>
          <w:p>
            <w:pPr>
              <w:jc w:val="left"/>
            </w:pPr>
            <w:r>
              <w:rPr>
                <w:rFonts w:ascii="Calibri" w:hAnsi="Calibri"/>
                <w:b/>
                <w:color w:val="F7F4EC"/>
                <w:sz w:val="19"/>
              </w:rPr>
              <w:t>Version</w:t>
            </w:r>
          </w:p>
        </w:tc>
        <w:tc>
          <w:tcPr>
            <w:tcW w:type="dxa" w:w="1872"/>
            <w:shd w:fill="19382D"/>
            <w:tcMar>
              <w:top w:w="140" w:type="dxa"/>
              <w:bottom w:w="140" w:type="dxa"/>
              <w:left w:w="180" w:type="dxa"/>
              <w:right w:w="180" w:type="dxa"/>
            </w:tcMar>
          </w:tcPr>
          <w:p>
            <w:pPr>
              <w:jc w:val="left"/>
            </w:pPr>
            <w:r>
              <w:rPr>
                <w:rFonts w:ascii="Calibri" w:hAnsi="Calibri"/>
                <w:b/>
                <w:color w:val="F7F4EC"/>
                <w:sz w:val="19"/>
              </w:rPr>
              <w:t>Date</w:t>
            </w:r>
          </w:p>
        </w:tc>
        <w:tc>
          <w:tcPr>
            <w:tcW w:type="dxa" w:w="2592"/>
            <w:shd w:fill="19382D"/>
            <w:tcMar>
              <w:top w:w="140" w:type="dxa"/>
              <w:bottom w:w="140" w:type="dxa"/>
              <w:left w:w="180" w:type="dxa"/>
              <w:right w:w="180" w:type="dxa"/>
            </w:tcMar>
          </w:tcPr>
          <w:p>
            <w:pPr>
              <w:jc w:val="left"/>
            </w:pPr>
            <w:r>
              <w:rPr>
                <w:rFonts w:ascii="Calibri" w:hAnsi="Calibri"/>
                <w:b/>
                <w:color w:val="F7F4EC"/>
                <w:sz w:val="19"/>
              </w:rPr>
              <w:t>Confidentiality Tier</w:t>
            </w:r>
          </w:p>
        </w:tc>
        <w:tc>
          <w:tcPr>
            <w:tcW w:type="dxa" w:w="1728"/>
            <w:shd w:fill="19382D"/>
            <w:tcMar>
              <w:top w:w="140" w:type="dxa"/>
              <w:bottom w:w="140" w:type="dxa"/>
              <w:left w:w="180" w:type="dxa"/>
              <w:right w:w="180" w:type="dxa"/>
            </w:tcMar>
          </w:tcPr>
          <w:p>
            <w:pPr>
              <w:jc w:val="left"/>
            </w:pPr>
            <w:r>
              <w:rPr>
                <w:rFonts w:ascii="Calibri" w:hAnsi="Calibri"/>
                <w:b/>
                <w:color w:val="F7F4EC"/>
                <w:sz w:val="19"/>
              </w:rPr>
              <w:t>Project Status</w:t>
            </w:r>
          </w:p>
        </w:tc>
      </w:tr>
      <w:tr>
        <w:tc>
          <w:tcPr>
            <w:tcW w:type="dxa" w:w="1872"/>
            <w:shd w:fill="FFFFFF"/>
            <w:tcMar>
              <w:top w:w="100" w:type="dxa"/>
              <w:bottom w:w="100" w:type="dxa"/>
              <w:left w:w="160" w:type="dxa"/>
              <w:right w:w="160" w:type="dxa"/>
            </w:tcMar>
          </w:tcPr>
          <w:p>
            <w:pPr>
              <w:jc w:val="left"/>
            </w:pPr>
            <w:r>
              <w:rPr>
                <w:rFonts w:ascii="Calibri" w:hAnsi="Calibri"/>
                <w:color w:val="282C29"/>
                <w:sz w:val="18"/>
              </w:rPr>
              <w:t>DOC-11</w:t>
            </w:r>
          </w:p>
        </w:tc>
        <w:tc>
          <w:tcPr>
            <w:tcW w:type="dxa" w:w="1728"/>
            <w:shd w:fill="FFFFFF"/>
            <w:tcMar>
              <w:top w:w="100" w:type="dxa"/>
              <w:bottom w:w="100" w:type="dxa"/>
              <w:left w:w="160" w:type="dxa"/>
              <w:right w:w="160" w:type="dxa"/>
            </w:tcMar>
          </w:tcPr>
          <w:p>
            <w:pPr>
              <w:jc w:val="left"/>
            </w:pPr>
            <w:r>
              <w:rPr>
                <w:rFonts w:ascii="Calibri" w:hAnsi="Calibri"/>
                <w:color w:val="282C29"/>
                <w:sz w:val="18"/>
              </w:rPr>
              <w:t>V3.0 Verified</w:t>
            </w:r>
          </w:p>
        </w:tc>
        <w:tc>
          <w:tcPr>
            <w:tcW w:type="dxa" w:w="1872"/>
            <w:shd w:fill="FFFFFF"/>
            <w:tcMar>
              <w:top w:w="100" w:type="dxa"/>
              <w:bottom w:w="100" w:type="dxa"/>
              <w:left w:w="160" w:type="dxa"/>
              <w:right w:w="160" w:type="dxa"/>
            </w:tcMar>
          </w:tcPr>
          <w:p>
            <w:pPr>
              <w:jc w:val="left"/>
            </w:pPr>
            <w:r>
              <w:rPr>
                <w:rFonts w:ascii="Calibri" w:hAnsi="Calibri"/>
                <w:color w:val="282C29"/>
                <w:sz w:val="18"/>
              </w:rPr>
              <w:t>October 2026</w:t>
            </w:r>
          </w:p>
        </w:tc>
        <w:tc>
          <w:tcPr>
            <w:tcW w:type="dxa" w:w="2592"/>
            <w:shd w:fill="FFFFFF"/>
            <w:tcMar>
              <w:top w:w="100" w:type="dxa"/>
              <w:bottom w:w="100" w:type="dxa"/>
              <w:left w:w="160" w:type="dxa"/>
              <w:right w:w="160" w:type="dxa"/>
            </w:tcMar>
          </w:tcPr>
          <w:p>
            <w:pPr>
              <w:jc w:val="left"/>
            </w:pPr>
            <w:r>
              <w:rPr>
                <w:rFonts w:ascii="Calibri" w:hAnsi="Calibri"/>
                <w:color w:val="282C29"/>
                <w:sz w:val="18"/>
              </w:rPr>
              <w:t>Tier 2 Registered</w:t>
            </w:r>
          </w:p>
        </w:tc>
        <w:tc>
          <w:tcPr>
            <w:tcW w:type="dxa" w:w="1728"/>
            <w:shd w:fill="FFFFFF"/>
            <w:tcMar>
              <w:top w:w="100" w:type="dxa"/>
              <w:bottom w:w="100" w:type="dxa"/>
              <w:left w:w="160" w:type="dxa"/>
              <w:right w:w="160" w:type="dxa"/>
            </w:tcMar>
          </w:tcPr>
          <w:p>
            <w:pPr>
              <w:jc w:val="left"/>
            </w:pPr>
            <w:r>
              <w:rPr>
                <w:rFonts w:ascii="Calibri" w:hAnsi="Calibri"/>
                <w:color w:val="282C29"/>
                <w:sz w:val="18"/>
              </w:rPr>
              <w:t>Active Diligence</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INVESTOR DILIGENCE CLARIFICATIONS</w:t>
              <w:br/>
            </w:r>
            <w:r>
              <w:rPr>
                <w:rFonts w:ascii="Georgia" w:hAnsi="Georgia"/>
                <w:i/>
                <w:color w:val="19382D"/>
                <w:sz w:val="19"/>
              </w:rPr>
              <w:t>This FAQ document compiles verified institutional answers to key questions raised during preliminary investor diligence, specifically clarifying historical draft discrepancies, land title status, financial yield assumptions, and statutory pathways.</w:t>
            </w:r>
          </w:p>
        </w:tc>
      </w:tr>
    </w:tbl>
    <w:p>
      <w:pPr>
        <w:spacing w:before="80" w:after="160"/>
      </w:pPr>
    </w:p>
    <w:p>
      <w:pPr>
        <w:keepNext/>
        <w:spacing w:before="240" w:after="80"/>
      </w:pPr>
      <w:r>
        <w:rPr>
          <w:rFonts w:ascii="Calibri" w:hAnsi="Calibri"/>
          <w:b/>
          <w:color w:val="282C29"/>
          <w:sz w:val="23"/>
        </w:rPr>
        <w:t>1. What is the verified capital requirement and why do older drafts reference $10.8M?</w:t>
      </w:r>
    </w:p>
    <w:p>
      <w:pPr>
        <w:spacing w:before="40" w:after="120" w:line="276" w:lineRule="auto"/>
      </w:pPr>
      <w:r>
        <w:rPr>
          <w:rFonts w:ascii="Calibri" w:hAnsi="Calibri"/>
          <w:color w:val="282C29"/>
          <w:sz w:val="20"/>
        </w:rPr>
        <w:t>The verified capital requirement is US$2.4 million in total. An earlier preliminary feasibility exploration evaluated a much larger 24-unit resort model requiring $10.8 million. Following extensive market and architectural benchmarking, that model was formally superseded by the boutique 12–15 unit plan. The US$2.4M budget is fully adequate to complete land assembly, civil works, 12–15 suites, dining lodge, wellness facilities, permaculture grounds, and working capital.</w:t>
      </w:r>
    </w:p>
    <w:p>
      <w:pPr>
        <w:keepNext/>
        <w:spacing w:before="240" w:after="80"/>
      </w:pPr>
      <w:r>
        <w:rPr>
          <w:rFonts w:ascii="Calibri" w:hAnsi="Calibri"/>
          <w:b/>
          <w:color w:val="282C29"/>
          <w:sz w:val="23"/>
        </w:rPr>
        <w:t>2. What is the precise land ownership status today?</w:t>
      </w:r>
    </w:p>
    <w:p>
      <w:pPr>
        <w:spacing w:before="40" w:after="120" w:line="276" w:lineRule="auto"/>
      </w:pPr>
      <w:r>
        <w:rPr>
          <w:rFonts w:ascii="Calibri" w:hAnsi="Calibri"/>
          <w:color w:val="282C29"/>
          <w:sz w:val="20"/>
        </w:rPr>
        <w:t>The starting 8.0 hectares (19.8 acres) are 100% purchased and owned by Jonik Ndovu Farm, with clean deed plans and customary search records available in the secure data room. The proposed adjacent parcel of approximately 7.0 hectares (17.3 acres) is currently under bilateral contract negotiation. Purchase capital (~US$320,000 inclusive of taxes and legal conveyance) is ring-fenced within the US$2.4M capital raise.</w:t>
      </w:r>
    </w:p>
    <w:p>
      <w:pPr>
        <w:keepNext/>
        <w:spacing w:before="240" w:after="80"/>
      </w:pPr>
      <w:r>
        <w:rPr>
          <w:rFonts w:ascii="Calibri" w:hAnsi="Calibri"/>
          <w:b/>
          <w:color w:val="282C29"/>
          <w:sz w:val="23"/>
        </w:rPr>
        <w:t>3. Can the project proceed if the ~7-hectare expansion parcel is delayed?</w:t>
      </w:r>
    </w:p>
    <w:p>
      <w:pPr>
        <w:spacing w:before="40" w:after="120" w:line="276" w:lineRule="auto"/>
      </w:pPr>
      <w:r>
        <w:rPr>
          <w:rFonts w:ascii="Calibri" w:hAnsi="Calibri"/>
          <w:color w:val="282C29"/>
          <w:sz w:val="20"/>
        </w:rPr>
        <w:t>Yes. The masterplan is deliberately engineered so that the core 8.0 hectares can function autonomously as a complete 12-suite boutique agro-resort. The expansion parcel adds scale, productive agricultural buffers, and trail corridors, but is not a physical prerequisite for launching hospitality operations.</w:t>
      </w:r>
    </w:p>
    <w:p>
      <w:pPr>
        <w:keepNext/>
        <w:spacing w:before="240" w:after="80"/>
      </w:pPr>
      <w:r>
        <w:rPr>
          <w:rFonts w:ascii="Calibri" w:hAnsi="Calibri"/>
          <w:b/>
          <w:color w:val="282C29"/>
          <w:sz w:val="23"/>
        </w:rPr>
        <w:t>4. What accommodation scale is planned and what is the maximum guest capacity?</w:t>
      </w:r>
    </w:p>
    <w:p>
      <w:pPr>
        <w:spacing w:before="40" w:after="120" w:line="276" w:lineRule="auto"/>
      </w:pPr>
      <w:r>
        <w:rPr>
          <w:rFonts w:ascii="Calibri" w:hAnsi="Calibri"/>
          <w:color w:val="282C29"/>
          <w:sz w:val="20"/>
        </w:rPr>
        <w:t>The development brief specifies 12 to 15 boutique suites accommodating a maximum of 24 to 30 guests at any time. This low-density scale preserves absolute serenity, commands premium room rates ($380–$560 ADR), and keeps operational overheads variable rather than high-fixed.</w:t>
      </w:r>
    </w:p>
    <w:p>
      <w:pPr>
        <w:keepNext/>
        <w:spacing w:before="240" w:after="80"/>
      </w:pPr>
      <w:r>
        <w:rPr>
          <w:rFonts w:ascii="Calibri" w:hAnsi="Calibri"/>
          <w:b/>
          <w:color w:val="282C29"/>
          <w:sz w:val="23"/>
        </w:rPr>
        <w:t>5. How does agriculture integrate with the commercial hospitality model?</w:t>
      </w:r>
    </w:p>
    <w:p>
      <w:pPr>
        <w:spacing w:before="40" w:after="120" w:line="276" w:lineRule="auto"/>
      </w:pPr>
      <w:r>
        <w:rPr>
          <w:rFonts w:ascii="Calibri" w:hAnsi="Calibri"/>
          <w:color w:val="282C29"/>
          <w:sz w:val="20"/>
        </w:rPr>
        <w:t>Hospitality (rooms, F&amp;B, wellness retreats) is the primary commercial engine, accounting for over 90% of total revenue. Agriculture serves a high-value strategic role: it supplies over 60% of kitchen produce (driving down food cost), differentiates the brand narrative, and provides guest activities such as guided harvest tours, beekeeping, and farm culinary workshops.</w:t>
      </w:r>
    </w:p>
    <w:p>
      <w:pPr>
        <w:keepNext/>
        <w:spacing w:before="240" w:after="80"/>
      </w:pPr>
      <w:r>
        <w:rPr>
          <w:rFonts w:ascii="Calibri" w:hAnsi="Calibri"/>
          <w:b/>
          <w:color w:val="282C29"/>
          <w:sz w:val="23"/>
        </w:rPr>
        <w:t>6. What average daily rates (ADR) and occupancies are modeled?</w:t>
      </w:r>
    </w:p>
    <w:p>
      <w:pPr>
        <w:spacing w:before="40" w:after="120" w:line="276" w:lineRule="auto"/>
      </w:pPr>
      <w:r>
        <w:rPr>
          <w:rFonts w:ascii="Calibri" w:hAnsi="Calibri"/>
          <w:color w:val="282C29"/>
          <w:sz w:val="20"/>
        </w:rPr>
        <w:t>The base-case model conservatively ramps ADR from US$380 in Year 3 (launch) to US$440 in Year 5, US$500 in Year 7, and US$560 in Year 10. Annual occupancy starts at 35% in Year 3, stabilizing at 52% in Year 5, 62% in Year 7, and 68% in Year 10. These figures reflect an attractive discount to premium Laikipia safari lodges ($800–$1,500/night).</w:t>
      </w:r>
    </w:p>
    <w:p>
      <w:pPr>
        <w:keepNext/>
        <w:spacing w:before="240" w:after="80"/>
      </w:pPr>
      <w:r>
        <w:rPr>
          <w:rFonts w:ascii="Calibri" w:hAnsi="Calibri"/>
          <w:b/>
          <w:color w:val="282C29"/>
          <w:sz w:val="23"/>
        </w:rPr>
        <w:t>7. What are the projected investor returns?</w:t>
      </w:r>
    </w:p>
    <w:p>
      <w:pPr>
        <w:spacing w:before="40" w:after="120" w:line="276" w:lineRule="auto"/>
      </w:pPr>
      <w:r>
        <w:rPr>
          <w:rFonts w:ascii="Calibri" w:hAnsi="Calibri"/>
          <w:color w:val="282C29"/>
          <w:sz w:val="20"/>
        </w:rPr>
        <w:t>The illustrative 10-year financial model projects an unlevered project IRR of 14.8% and an equity multiple of 2.85x under base-case assumptions. Under an upside scenario (ADR US$620, occupancy 72%), equity IRR reaches 18.2% (3.4x MOIC). Under a conservative downside scenario (ADR US$340, occupancy 45%), IRR remains positive at 8.4% (1.9x MOIC).</w:t>
      </w:r>
    </w:p>
    <w:p>
      <w:pPr>
        <w:keepNext/>
        <w:spacing w:before="240" w:after="80"/>
      </w:pPr>
      <w:r>
        <w:rPr>
          <w:rFonts w:ascii="Calibri" w:hAnsi="Calibri"/>
          <w:b/>
          <w:color w:val="282C29"/>
          <w:sz w:val="23"/>
        </w:rPr>
        <w:t>8. How is water security guaranteed in the semi-arid Segera landscape?</w:t>
      </w:r>
    </w:p>
    <w:p>
      <w:pPr>
        <w:spacing w:before="40" w:after="120" w:line="276" w:lineRule="auto"/>
      </w:pPr>
      <w:r>
        <w:rPr>
          <w:rFonts w:ascii="Calibri" w:hAnsi="Calibri"/>
          <w:color w:val="282C29"/>
          <w:sz w:val="20"/>
        </w:rPr>
        <w:t>A comprehensive hydrogeological survey has mapped a deep, reliable aquifer. The project will drill an on-site borehole delivering an estimated 8,000–12,000 L/hour. This is coupled with 200,000 liters of storage (150kL raw, 50kL treated potable) and a greywater reed-bed recycling system, providing over 45 days of operational reserve.</w:t>
      </w:r>
    </w:p>
    <w:p>
      <w:pPr>
        <w:keepNext/>
        <w:spacing w:before="240" w:after="80"/>
      </w:pPr>
      <w:r>
        <w:rPr>
          <w:rFonts w:ascii="Calibri" w:hAnsi="Calibri"/>
          <w:b/>
          <w:color w:val="282C29"/>
          <w:sz w:val="23"/>
        </w:rPr>
        <w:t>9. What is the power and energy strategy?</w:t>
      </w:r>
    </w:p>
    <w:p>
      <w:pPr>
        <w:spacing w:before="40" w:after="120" w:line="276" w:lineRule="auto"/>
      </w:pPr>
      <w:r>
        <w:rPr>
          <w:rFonts w:ascii="Calibri" w:hAnsi="Calibri"/>
          <w:color w:val="282C29"/>
          <w:sz w:val="20"/>
        </w:rPr>
        <w:t>The destination operates entirely off-grid via a 60 kWp ground-mounted solar PV array, a 120 kWh LiFePO4 battery energy storage system, and a 30 kVA ultra-silent backup diesel generator for emergency redundancy. This delivers 100% clean, silent energy at near-zero operating fuel cost.</w:t>
      </w:r>
    </w:p>
    <w:p>
      <w:pPr>
        <w:keepNext/>
        <w:spacing w:before="240" w:after="80"/>
      </w:pPr>
      <w:r>
        <w:rPr>
          <w:rFonts w:ascii="Calibri" w:hAnsi="Calibri"/>
          <w:b/>
          <w:color w:val="282C29"/>
          <w:sz w:val="23"/>
        </w:rPr>
        <w:t>10. What is the status of environmental (NEMA) and county approvals?</w:t>
      </w:r>
    </w:p>
    <w:p>
      <w:pPr>
        <w:spacing w:before="40" w:after="120" w:line="276" w:lineRule="auto"/>
      </w:pPr>
      <w:r>
        <w:rPr>
          <w:rFonts w:ascii="Calibri" w:hAnsi="Calibri"/>
          <w:color w:val="282C29"/>
          <w:sz w:val="20"/>
        </w:rPr>
        <w:t>A preliminary Environmental Impact Assessment (EIA) screening report has been prepared by a licensed NEMA lead expert. The project's low-impact footprint, eco-materials, and off-grid solar-water systems qualify it for standard NEMA Project Report licensing. County Government of Laikipia physical planning change-of-user pre-consultation has commenced.</w:t>
      </w:r>
    </w:p>
    <w:p>
      <w:pPr>
        <w:keepNext/>
        <w:spacing w:before="240" w:after="80"/>
      </w:pPr>
      <w:r>
        <w:rPr>
          <w:rFonts w:ascii="Calibri" w:hAnsi="Calibri"/>
          <w:b/>
          <w:color w:val="282C29"/>
          <w:sz w:val="23"/>
        </w:rPr>
        <w:t>11. Are Mount Kenya views and wildlife sightings guaranteed?</w:t>
      </w:r>
    </w:p>
    <w:p>
      <w:pPr>
        <w:spacing w:before="40" w:after="120" w:line="276" w:lineRule="auto"/>
      </w:pPr>
      <w:r>
        <w:rPr>
          <w:rFonts w:ascii="Calibri" w:hAnsi="Calibri"/>
          <w:color w:val="282C29"/>
          <w:sz w:val="20"/>
        </w:rPr>
        <w:t>No. Jonik Ndovu Farm is transparent that wildlife sightings and Mount Kenya sightlines are regional attributes and viewing opportunities, not contractual guarantees. The farm is located along the Greater Ewaso wildlife corridor where animals naturally traverse, and elevated guest decks are oriented toward Mount Kenya vistas, but these are positioned as authentic nature experiences rather than staged zoo attractions.</w:t>
      </w:r>
    </w:p>
    <w:p>
      <w:pPr>
        <w:keepNext/>
        <w:spacing w:before="240" w:after="80"/>
      </w:pPr>
      <w:r>
        <w:rPr>
          <w:rFonts w:ascii="Calibri" w:hAnsi="Calibri"/>
          <w:b/>
          <w:color w:val="282C29"/>
          <w:sz w:val="23"/>
        </w:rPr>
        <w:t>12. Who will manage and operate the resort upon completion?</w:t>
      </w:r>
    </w:p>
    <w:p>
      <w:pPr>
        <w:spacing w:before="40" w:after="120" w:line="276" w:lineRule="auto"/>
      </w:pPr>
      <w:r>
        <w:rPr>
          <w:rFonts w:ascii="Calibri" w:hAnsi="Calibri"/>
          <w:color w:val="282C29"/>
          <w:sz w:val="20"/>
        </w:rPr>
        <w:t>The project sponsors are evaluating two proven pathways: (a) Partnering with an established East African boutique lodge management company on a hotel management agreement (HMA); or (b) Recruiting an experienced General Manager and Executive Chef team with international luxury eco-resort credentials. Operating agreements will feature performance-linked incentive structures.</w:t>
      </w:r>
    </w:p>
    <w:p>
      <w:pPr>
        <w:keepNext/>
        <w:spacing w:before="240" w:after="80"/>
      </w:pPr>
      <w:r>
        <w:rPr>
          <w:rFonts w:ascii="Calibri" w:hAnsi="Calibri"/>
          <w:b/>
          <w:color w:val="282C29"/>
          <w:sz w:val="23"/>
        </w:rPr>
        <w:t>13. What is the proposed capital structure and investment instrument?</w:t>
      </w:r>
    </w:p>
    <w:p>
      <w:pPr>
        <w:spacing w:before="40" w:after="120" w:line="276" w:lineRule="auto"/>
      </w:pPr>
      <w:r>
        <w:rPr>
          <w:rFonts w:ascii="Calibri" w:hAnsi="Calibri"/>
          <w:color w:val="282C29"/>
          <w:sz w:val="20"/>
        </w:rPr>
        <w:t>The US$2.4 million raise is offered primarily as Preferred Equity or Convertible Structured Shares providing a preferred coupon during the construction period, converting into equity ownership with full voting and governance representation at commercial commissioning.</w:t>
      </w:r>
    </w:p>
    <w:p>
      <w:pPr>
        <w:keepNext/>
        <w:spacing w:before="240" w:after="80"/>
      </w:pPr>
      <w:r>
        <w:rPr>
          <w:rFonts w:ascii="Calibri" w:hAnsi="Calibri"/>
          <w:b/>
          <w:color w:val="282C29"/>
          <w:sz w:val="23"/>
        </w:rPr>
        <w:t>14. What minority investor protections are provided?</w:t>
      </w:r>
    </w:p>
    <w:p>
      <w:pPr>
        <w:spacing w:before="40" w:after="120" w:line="276" w:lineRule="auto"/>
      </w:pPr>
      <w:r>
        <w:rPr>
          <w:rFonts w:ascii="Calibri" w:hAnsi="Calibri"/>
          <w:color w:val="282C29"/>
          <w:sz w:val="20"/>
        </w:rPr>
        <w:t>Investors will benefit from comprehensive minority protections including: (a) Board seat representation; (b) A strict list of Reserved Matters requiring 75% approval (e.g., debt issuance, asset sales, budget variance &gt;10%, related-party transactions); (c) Pre-emption rights on future issuances; and (d) Tag-along and drag-along rights.</w:t>
      </w:r>
    </w:p>
    <w:p>
      <w:pPr>
        <w:keepNext/>
        <w:spacing w:before="240" w:after="80"/>
      </w:pPr>
      <w:r>
        <w:rPr>
          <w:rFonts w:ascii="Calibri" w:hAnsi="Calibri"/>
          <w:b/>
          <w:color w:val="282C29"/>
          <w:sz w:val="23"/>
        </w:rPr>
        <w:t>15. What are the planned exit pathways for equity investors?</w:t>
      </w:r>
    </w:p>
    <w:p>
      <w:pPr>
        <w:spacing w:before="40" w:after="120" w:line="276" w:lineRule="auto"/>
      </w:pPr>
      <w:r>
        <w:rPr>
          <w:rFonts w:ascii="Calibri" w:hAnsi="Calibri"/>
          <w:color w:val="282C29"/>
          <w:sz w:val="20"/>
        </w:rPr>
        <w:t>Target exit timing is Year 5 to 7 via: (a) Strategic sale to a regional hospitality group expanding their East Africa portfolio; (b) Secondary share sale to an institutional safari/tourism private equity fund; or (c) Continuing dividend yield distribution supported by a voluntary share buyback mechanism funded from operating free cash flow.</w:t>
      </w:r>
    </w:p>
    <w:p>
      <w:pPr>
        <w:keepNext/>
        <w:spacing w:before="240" w:after="80"/>
      </w:pPr>
      <w:r>
        <w:rPr>
          <w:rFonts w:ascii="Calibri" w:hAnsi="Calibri"/>
          <w:b/>
          <w:color w:val="282C29"/>
          <w:sz w:val="23"/>
        </w:rPr>
        <w:t>16. How much of the funding is allocated towards the green ecosystem and productive assets?</w:t>
      </w:r>
    </w:p>
    <w:p>
      <w:pPr>
        <w:spacing w:before="40" w:after="120" w:line="276" w:lineRule="auto"/>
      </w:pPr>
      <w:r>
        <w:rPr>
          <w:rFonts w:ascii="Calibri" w:hAnsi="Calibri"/>
          <w:color w:val="282C29"/>
          <w:sz w:val="20"/>
        </w:rPr>
        <w:t>US$980,000 — representing 40.8% of the total US$2.4M capital program — is dedicated to the greener ecosystem and productive farm infrastructure: Solar panels &amp; battery storage ($160,000), circular biogas generation ($80,000), precision drip irrigation &amp; solar borehole ($240,000), contour earthworks, swales &amp; landscaping ($120,000), animal structures &amp; dairy ($80,000), clean farm machinery fleet ($60,000), and the commercial catering kitchen &amp; farm produce sale shop ($240,000). This circular architecture dramatically lowers operational overheads and creates high-margin retail revenue.</w:t>
      </w:r>
    </w:p>
    <w:p>
      <w:r>
        <w:rPr>
          <w:b/>
          <w:color w:val="1B4332"/>
        </w:rPr>
        <w:t>Q: How does Jonik Ndovu Farm benefit from and interact with neighboring wildlife conservancies?</w:t>
      </w:r>
    </w:p>
    <w:p>
      <w:pPr>
        <w:spacing w:after="160"/>
      </w:pPr>
      <w:r>
        <w:t>A: Segera borders major neighboring wildlife zones in the Laikipia ecosystem, including the Lewa Wildlife Conservancy (UNESCO World Heritage rhino stronghold and Grevy's zebra sanctuary) and Ol Pejeta Conservancy (East Africa's largest black rhino sanctuary and highest apex predator density in Kenya). This geographic positioning provides a powerful commercial moat: guests enjoy unrivaled access to Africa's premier big-game safari circuits while enjoying the restorative, low-density intimacy of an organic farm retreat. Furthermore, our 15-hectare site plan maintains permeable boundaries that respect historic wildlife migration across the Greater Ewaso ecosystem.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6"/>
      </w:rPr>
      <w:t>CONFIDENTIAL — FOR QUALIFIED INVESTOR REVIEW ONLY — SEGERA, LAIKIPIA, KENYA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88B65"/>
        <w:sz w:val="16"/>
      </w:rPr>
      <w:t>JONIK NDOVU FARM · DOC-11 · TIER 2 REGISTERED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