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Payobook Architecture and Database Specification</w:t>
      </w:r>
    </w:p>
    <w:p>
      <w:pPr>
        <w:pStyle w:val="Subtitle"/>
      </w:pPr>
      <w:r>
        <w:t>Integrated payroll and workforce operations with secure data management</w:t>
      </w:r>
    </w:p>
    <w:p>
      <w:r>
        <w:t>Payobook connects payroll, workforce administration, employee self-service, approvals and reporting through a modular application platform. Its custom experience, business and shared-service layers extend a common application foundation, providing consistent business rules and controlled access to operational data.</w:t>
      </w:r>
    </w:p>
    <w:p>
      <w:pPr>
        <w:pStyle w:val="Heading1"/>
      </w:pPr>
      <w:r>
        <w:t>Layered platform architecture</w:t>
      </w:r>
    </w:p>
    <w:p>
      <w:r>
        <w:t>These are logical application layers, not separate microservices. They share transactional services and customer-scoped data. Security controls apply across the layers; supporting services are enabled according to the customer deployment.</w:t>
      </w:r>
    </w:p>
    <w:tbl>
      <w:tblPr>
        <w:tblW w:type="auto" w:w="0"/>
        <w:jc w:val="center"/>
        <w:tblLayout w:type="fixed"/>
        <w:tblLook w:firstColumn="1" w:firstRow="1" w:lastColumn="0" w:lastRow="0" w:noHBand="0" w:noVBand="1" w:val="04A0"/>
      </w:tblPr>
      <w:tblGrid>
        <w:gridCol w:w="2376"/>
        <w:gridCol w:w="7459"/>
      </w:tblGrid>
      <w:tr>
        <w:trPr>
          <w:tblHeader/>
          <w:cantSplit/>
        </w:trPr>
        <w:tc>
          <w:tcPr>
            <w:tcW w:type="dxa" w:w="2376"/>
            <w:vAlign w:val="center"/>
            <w:shd w:fill="153D5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color w:val="FFFFFF"/>
                <w:sz w:val="18"/>
              </w:rPr>
              <w:t>Layer</w:t>
            </w:r>
          </w:p>
        </w:tc>
        <w:tc>
          <w:tcPr>
            <w:tcW w:type="dxa" w:w="7459"/>
            <w:vAlign w:val="center"/>
            <w:shd w:fill="153D5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color w:val="FFFFFF"/>
                <w:sz w:val="18"/>
              </w:rPr>
              <w:t>Responsibilities</w:t>
            </w:r>
          </w:p>
        </w:tc>
      </w:tr>
      <w:tr>
        <w:trPr>
          <w:cantSplit/>
        </w:trP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1  User experience</w:t>
            </w:r>
          </w:p>
        </w:tc>
        <w:tc>
          <w:tcPr>
            <w:tcW w:type="dxa" w:w="745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Employee self-service; HR and payroll workspaces; management dashboards and authorised actions.</w:t>
            </w:r>
          </w:p>
        </w:tc>
      </w:tr>
      <w:tr>
        <w:trPr>
          <w:cantSplit/>
        </w:trPr>
        <w:tc>
          <w:tcPr>
            <w:tcW w:type="dxa" w:w="2376"/>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2  Business applications</w:t>
            </w:r>
          </w:p>
        </w:tc>
        <w:tc>
          <w:tcPr>
            <w:tcW w:type="dxa" w:w="7459"/>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Payroll and country localisation; workforce lifecycle; leave and attendance; business approvals.</w:t>
            </w:r>
          </w:p>
        </w:tc>
      </w:tr>
      <w:tr>
        <w:trPr>
          <w:cantSplit/>
        </w:trP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3  Shared services</w:t>
            </w:r>
          </w:p>
        </w:tc>
        <w:tc>
          <w:tcPr>
            <w:tcW w:type="dxa" w:w="745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Integrations and field mapping; workflow automation; reporting; AI-assisted analysis and document processing.</w:t>
            </w:r>
          </w:p>
        </w:tc>
      </w:tr>
      <w:tr>
        <w:trPr>
          <w:cantSplit/>
        </w:trPr>
        <w:tc>
          <w:tcPr>
            <w:tcW w:type="dxa" w:w="2376"/>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4  Application foundation</w:t>
            </w:r>
          </w:p>
        </w:tc>
        <w:tc>
          <w:tcPr>
            <w:tcW w:type="dxa" w:w="7459"/>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Identity and sessions; model permissions; company and record rules; relational mapping and transaction services.</w:t>
            </w:r>
          </w:p>
        </w:tc>
      </w:tr>
      <w:tr>
        <w:trPr>
          <w:cantSplit/>
        </w:trP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5  Data and infrastructure</w:t>
            </w:r>
          </w:p>
        </w:tc>
        <w:tc>
          <w:tcPr>
            <w:tcW w:type="dxa" w:w="745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PostgreSQL customer databases; document storage; application workers; scheduled jobs and hosting services.</w:t>
            </w:r>
          </w:p>
        </w:tc>
      </w:tr>
    </w:tbl>
    <w:p>
      <w:pPr>
        <w:spacing w:after="0"/>
      </w:pPr>
    </w:p>
    <w:p>
      <w:pPr>
        <w:pStyle w:val="Heading2"/>
      </w:pPr>
      <w:r>
        <w:t>Controlled inputs and outputs</w:t>
      </w:r>
    </w:p>
    <w:p>
      <w:r>
        <w:t>Employees and business teams access the platform through authenticated interfaces. Approved connectors and imports map external information into business records. Payslips, reports, approval actions and role-scoped insights are produced through the same application services.</w:t>
      </w:r>
    </w:p>
    <w:p>
      <w:pPr>
        <w:pStyle w:val="Heading2"/>
      </w:pPr>
      <w:r>
        <w:t>Operational value with accountable decisions</w:t>
      </w:r>
    </w:p>
    <w:p>
      <w:r>
        <w:t>Country-specific payroll logic, validation and approvals support consistent execution. Reporting and AI-assisted analysis help authorised users investigate trends and variances; established business workflows retain control of consequential decisions.</w:t>
      </w:r>
    </w:p>
    <w:p>
      <w:r>
        <w:br w:type="page"/>
      </w:r>
    </w:p>
    <w:p>
      <w:pPr>
        <w:pStyle w:val="Heading1"/>
      </w:pPr>
      <w:r>
        <w:t>Database structure and processing</w:t>
      </w:r>
    </w:p>
    <w:p>
      <w:r>
        <w:t>PostgreSQL is the transactional system of record. The documented tenancy model uses separate customer databases, with company and record-level permissions within each database. Logical separation does not imply dedicated servers or dedicated encryption keys.</w:t>
      </w:r>
    </w:p>
    <w:tbl>
      <w:tblPr>
        <w:tblW w:type="auto" w:w="0"/>
        <w:jc w:val="center"/>
        <w:tblLayout w:type="fixed"/>
        <w:tblLook w:firstColumn="1" w:firstRow="1" w:lastColumn="0" w:lastRow="0" w:noHBand="0" w:noVBand="1" w:val="04A0"/>
      </w:tblPr>
      <w:tblGrid>
        <w:gridCol w:w="1915"/>
        <w:gridCol w:w="3197"/>
        <w:gridCol w:w="4723"/>
      </w:tblGrid>
      <w:tr>
        <w:trPr>
          <w:tblHeader/>
          <w:cantSplit/>
        </w:trPr>
        <w:tc>
          <w:tcPr>
            <w:tcW w:type="dxa" w:w="1915"/>
            <w:vAlign w:val="center"/>
            <w:shd w:fill="153D5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color w:val="FFFFFF"/>
                <w:sz w:val="18"/>
              </w:rPr>
              <w:t>Data domain</w:t>
            </w:r>
          </w:p>
        </w:tc>
        <w:tc>
          <w:tcPr>
            <w:tcW w:type="dxa" w:w="3197"/>
            <w:vAlign w:val="center"/>
            <w:shd w:fill="153D5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color w:val="FFFFFF"/>
                <w:sz w:val="18"/>
              </w:rPr>
              <w:t>Principal records</w:t>
            </w:r>
          </w:p>
        </w:tc>
        <w:tc>
          <w:tcPr>
            <w:tcW w:type="dxa" w:w="4723"/>
            <w:vAlign w:val="center"/>
            <w:shd w:fill="153D5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color w:val="FFFFFF"/>
                <w:sz w:val="18"/>
              </w:rPr>
              <w:t>Relationships and controls</w:t>
            </w:r>
          </w:p>
        </w:tc>
      </w:tr>
      <w:tr>
        <w:trPr>
          <w:cantSplit/>
        </w:trPr>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Organisation and identity</w:t>
            </w:r>
          </w:p>
        </w:tc>
        <w:tc>
          <w:tcPr>
            <w:tcW w:type="dxa" w:w="319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Companies, employees, users, groups and employment records</w:t>
            </w:r>
          </w:p>
        </w:tc>
        <w:tc>
          <w:tcPr>
            <w:tcW w:type="dxa" w:w="472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Company membership and user roles determine permitted operations and record visibility.</w:t>
            </w:r>
          </w:p>
        </w:tc>
      </w:tr>
      <w:tr>
        <w:trPr>
          <w:cantSplit/>
        </w:trPr>
        <w:tc>
          <w:tcPr>
            <w:tcW w:type="dxa" w:w="1915"/>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Workforce and payroll</w:t>
            </w:r>
          </w:p>
        </w:tc>
        <w:tc>
          <w:tcPr>
            <w:tcW w:type="dxa" w:w="3197"/>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Contracts, attendance, leave, salary rules, pay runs and payslips</w:t>
            </w:r>
          </w:p>
        </w:tc>
        <w:tc>
          <w:tcPr>
            <w:tcW w:type="dxa" w:w="472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Employee and employment records link workforce inputs to payroll calculations and outputs.</w:t>
            </w:r>
          </w:p>
        </w:tc>
      </w:tr>
      <w:tr>
        <w:trPr>
          <w:cantSplit/>
        </w:trPr>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Workflow and integrations</w:t>
            </w:r>
          </w:p>
        </w:tc>
        <w:tc>
          <w:tcPr>
            <w:tcW w:type="dxa" w:w="319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Approval proposals, decisions, connectors, mappings and import records</w:t>
            </w:r>
          </w:p>
        </w:tc>
        <w:tc>
          <w:tcPr>
            <w:tcW w:type="dxa" w:w="472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Business actions follow validation and approval rules; connectors map approved source data.</w:t>
            </w:r>
          </w:p>
        </w:tc>
      </w:tr>
      <w:tr>
        <w:trPr>
          <w:cantSplit/>
        </w:trPr>
        <w:tc>
          <w:tcPr>
            <w:tcW w:type="dxa" w:w="1915"/>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Documents and evidence</w:t>
            </w:r>
          </w:p>
        </w:tc>
        <w:tc>
          <w:tcPr>
            <w:tcW w:type="dxa" w:w="3197"/>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Employee documents, attachments and configured audit entries</w:t>
            </w:r>
          </w:p>
        </w:tc>
        <w:tc>
          <w:tcPr>
            <w:tcW w:type="dxa" w:w="472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Document metadata links files to business records; access rules govern retrieval and maintenance.</w:t>
            </w:r>
          </w:p>
        </w:tc>
      </w:tr>
      <w:tr>
        <w:trPr>
          <w:cantSplit/>
        </w:trPr>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Reporting and assistance</w:t>
            </w:r>
          </w:p>
        </w:tc>
        <w:tc>
          <w:tcPr>
            <w:tcW w:type="dxa" w:w="319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Dashboards, report definitions, conversations and provider settings</w:t>
            </w:r>
          </w:p>
        </w:tc>
        <w:tc>
          <w:tcPr>
            <w:tcW w:type="dxa" w:w="472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Queries use authorised business context; enabled assistance services follow deployment policy.</w:t>
            </w:r>
          </w:p>
        </w:tc>
      </w:tr>
    </w:tbl>
    <w:p>
      <w:pPr>
        <w:spacing w:after="0"/>
      </w:pPr>
    </w:p>
    <w:p>
      <w:pPr>
        <w:pStyle w:val="Heading2"/>
      </w:pPr>
      <w:r>
        <w:t>Transaction processing</w:t>
      </w:r>
    </w:p>
    <w:p>
      <w:r>
        <w:t>A request is authenticated, checked against model and record permissions, validated against business rules and then persisted. Reports and approved exports use the application data model. Scheduled jobs handle recurring processing; a dedicated event-stream or analytical database is not a required baseline component.</w:t>
      </w:r>
    </w:p>
    <w:p>
      <w:pPr>
        <w:pStyle w:val="Heading2"/>
      </w:pPr>
      <w:r>
        <w:t>Documents and data lifecycle</w:t>
      </w:r>
    </w:p>
    <w:p>
      <w:r>
        <w:t>Attachment storage accompanies the database and must be included in backup and restoration procedures. Retention, authorised exports, deletion and customer offboarding are defined for each data category. Employee bank account details may be held for payroll purposes and require appropriate access protection.</w:t>
      </w:r>
    </w:p>
    <w:p>
      <w:pPr>
        <w:pStyle w:val="Heading2"/>
      </w:pPr>
      <w:r>
        <w:t>Private processing option</w:t>
      </w:r>
    </w:p>
    <w:p>
      <w:r>
        <w:t>Local model inference and document OCR are supported. In a verified private configuration, prompts, documents and business data remain within the approved hosting environment during AI processing. External providers and transcription routes must be disabled or blocked, including fallback paths. Customer-authorised business integrations have a separate transfer scope.</w:t>
      </w:r>
    </w:p>
    <w:p>
      <w:r>
        <w:br w:type="page"/>
      </w:r>
    </w:p>
    <w:p>
      <w:pPr>
        <w:pStyle w:val="Heading1"/>
      </w:pPr>
      <w:r>
        <w:t>Security governance and service resilience</w:t>
      </w:r>
    </w:p>
    <w:p>
      <w:pPr>
        <w:pStyle w:val="Heading2"/>
      </w:pPr>
      <w:r>
        <w:t>Access and tenant separation</w:t>
      </w:r>
    </w:p>
    <w:p>
      <w:r>
        <w:t>Separate customer databases establish the tenant boundary. Security groups, model permissions and company-scoped record rules govern access within a database. Employee document rules distinguish own-record reading, HR maintenance and managerial permissions. Customer-controlled support access includes a reason, a time limit and a session record.</w:t>
      </w:r>
    </w:p>
    <w:p>
      <w:pPr>
        <w:pStyle w:val="Heading2"/>
      </w:pPr>
      <w:r>
        <w:t>Secure transfer and storage protection</w:t>
      </w:r>
    </w:p>
    <w:p>
      <w:r>
        <w:t>HTTPS endpoints and certificate monitoring are part of the documented operating model. The deployment security profile specifies TLS policy, certificate validation, private service connections and encryption for database volumes, documents and backups. Cipher choices, key ownership and rotation are confirmed for the selected hosting configuration.</w:t>
      </w:r>
    </w:p>
    <w:p>
      <w:pPr>
        <w:pStyle w:val="Heading2"/>
      </w:pPr>
      <w:r>
        <w:t>Audit and operational monitoring</w:t>
      </w:r>
    </w:p>
    <w:p>
      <w:r>
        <w:t>Configured field changes record the acting user, timestamp and before-and-after values. Audit access and retention are controlled; privileged administration and retention processes remain distinct from ordinary users. Health, backup and certificate alerts support operational oversight. Immutable off-site logging is a separate deployment control.</w:t>
      </w:r>
    </w:p>
    <w:p>
      <w:pPr>
        <w:pStyle w:val="Heading2"/>
      </w:pPr>
      <w:r>
        <w:t>Continuity and controlled releases</w:t>
      </w:r>
    </w:p>
    <w:p>
      <w:r>
        <w:t>Backup tooling and restore-based release rehearsal support managed changes. Releases can progress through a template, canary and rollout waves with health checks. Backup retention, independent copies, full recovery drills and recovery point/time objectives are agreed in the service schedule; availability and recovery commitments depend on the deployed topology.</w:t>
      </w:r>
    </w:p>
    <w:p>
      <w:pPr>
        <w:pStyle w:val="Heading2"/>
      </w:pPr>
      <w:r>
        <w:t>Cybersecurity and certification</w:t>
      </w:r>
    </w:p>
    <w:p>
      <w:r>
        <w:t>The security operating profile should cover patching, vulnerability assessment, access reviews, incident response and supplier assurance. The underlying technology supplier has announced ISO/IEC 27001:2022 certification. Certification applies to its defined management-system scope; it does not automatically certify Payobook or a customer deployment. Applicable certificates and service coverage are reviewed during procurement.</w:t>
      </w:r>
    </w:p>
    <w:p>
      <w:pPr>
        <w:pStyle w:val="Heading2"/>
      </w:pPr>
      <w:r>
        <w:t>Deployment acceptance</w:t>
      </w:r>
    </w:p>
    <w:p>
      <w:r>
        <w:t>Agree data location and retention, validate role boundaries and integrations, verify encryption and private-processing controls, reconcile payroll outputs, and complete recovery and customer acceptance checks. The rollout schedule and support commitments follow the agreed scope rather than a fixed platform-wide timetable.</w:t>
      </w:r>
    </w:p>
    <w:p>
      <w:r>
        <w:rPr>
          <w:sz w:val="16"/>
        </w:rPr>
        <w:t xml:space="preserve">Standards reference </w:t>
      </w:r>
      <w:hyperlink r:id="rId11">
        <w:r>
          <w:rPr>
            <w:color w:val="087E8B"/>
            <w:sz w:val="16"/>
          </w:rPr>
          <w:t>https://www.iso.org/standard/27001</w:t>
        </w:r>
      </w:hyperlink>
    </w:p>
    <w:sectPr w:rsidR="00FC693F" w:rsidRPr="0006063C" w:rsidSect="00034616">
      <w:headerReference w:type="default" r:id="rId9"/>
      <w:footerReference w:type="default" r:id="rId10"/>
      <w:pgSz w:w="11909" w:h="16834"/>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26575"/>
        <w:sz w:val="16"/>
      </w:rPr>
      <w:t xml:space="preserve">Client architecture and security review  |  v2  |  15 September 2026  |  </w:t>
    </w:r>
    <w:r>
      <w:rPr>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PAYOBOOK  /  PLATFORM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59"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40" w:line="259" w:lineRule="auto"/>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o.org/standard/27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Payobook Architecture and Database Specification</dc:title>
  <dc:subject>Platform architecture</dc:subject>
  <dc:creator>Payobook</dc:creator>
  <cp:keywords>Payobook, architecture, security, v2</cp:keywords>
  <dc:description/>
  <cp:lastModifiedBy/>
  <cp:revision>1</cp:revision>
  <dcterms:created xsi:type="dcterms:W3CDTF">2013-12-23T23:15:00Z</dcterms:created>
  <dcterms:modified xsi:type="dcterms:W3CDTF">2013-12-23T23:15:00Z</dcterms:modified>
  <cp:category/>
</cp:coreProperties>
</file>