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pPr>
      <w:r>
        <w:t>Payobook Security FAQ and Vendor Assessment</w:t>
      </w:r>
    </w:p>
    <w:p>
      <w:pPr>
        <w:pStyle w:val="Subtitle"/>
      </w:pPr>
      <w:r>
        <w:t>Customer security questions and a control evidence checklist</w:t>
      </w:r>
    </w:p>
    <w:p>
      <w:r>
        <w:t>Payobook combines payroll and workforce operations with controlled access, traceable workflows and operational monitoring. This document explains the application controls and identifies the hosting and service commitments to establish for each customer deployment. The assessment matrix distinguishes implemented capabilities from configuration and assurance evidence.</w:t>
      </w:r>
    </w:p>
    <w:p>
      <w:pPr>
        <w:pStyle w:val="Heading1"/>
      </w:pPr>
      <w:r>
        <w:t>Platform and data protection</w:t>
      </w:r>
    </w:p>
    <w:p>
      <w:pPr>
        <w:pStyle w:val="Heading2"/>
      </w:pPr>
      <w:r>
        <w:t>How is the platform structured?</w:t>
      </w:r>
    </w:p>
    <w:p>
      <w:r>
        <w:t>Payobook uses five logical layers: user experience, business applications, shared services, application foundation, and data and infrastructure. Payroll, workforce processes, approvals, integrations and reporting share a common transaction and permissions model.</w:t>
      </w:r>
    </w:p>
    <w:p>
      <w:pPr>
        <w:pStyle w:val="Heading2"/>
      </w:pPr>
      <w:r>
        <w:t>Where is customer data hosted?</w:t>
      </w:r>
    </w:p>
    <w:p>
      <w:r>
        <w:t>The documented platform deployment uses AWS Lightsail infrastructure. The customer service schedule should identify the production region, backup locations and applicable service providers. Cloud-provider physical security and certifications apply only to their defined services; Payobook remains responsible for its application and operating configuration.</w:t>
      </w:r>
    </w:p>
    <w:p>
      <w:pPr>
        <w:pStyle w:val="Heading2"/>
      </w:pPr>
      <w:r>
        <w:t>How is one customer separated from another?</w:t>
      </w:r>
    </w:p>
    <w:p>
      <w:r>
        <w:t>The documented model uses separate customer databases. Within a database, security groups, model permissions and company/record rules control access. These application rules are distinct from database-native row-level security. Shared hosting does not itself provide dedicated hardware or customer-specific encryption keys.</w:t>
      </w:r>
    </w:p>
    <w:p>
      <w:pPr>
        <w:pStyle w:val="Heading2"/>
      </w:pPr>
      <w:r>
        <w:t>How is data protected in transit and at rest?</w:t>
      </w:r>
    </w:p>
    <w:p>
      <w:r>
        <w:t>The platform has HTTPS endpoints and certificate monitoring. The customer deployment profile defines minimum TLS versions, internal connection protection, storage encryption, backup encryption and key-management responsibilities. AES-256 or managed-key claims should be supported by configuration evidence for the actual services in use.</w:t>
      </w:r>
    </w:p>
    <w:p>
      <w:pPr>
        <w:pStyle w:val="Heading2"/>
      </w:pPr>
      <w:r>
        <w:t>Does Payobook store financial information?</w:t>
      </w:r>
    </w:p>
    <w:p>
      <w:r>
        <w:t>Payobook can hold employee bank details required for payroll and payment preparation. These records and exports require restricted access. Payment-card processing, tokenisation and payment-gateway certifications are separate integration matters and are confirmed for the selected payment route.</w:t>
      </w:r>
    </w:p>
    <w:p>
      <w:pPr>
        <w:pStyle w:val="Heading2"/>
      </w:pPr>
      <w:r>
        <w:t>How are imports and integrations controlled?</w:t>
      </w:r>
    </w:p>
    <w:p>
      <w:r>
        <w:t>Connectors use defined mappings and transformation rules to bring approved data into business workflows. Integration ledgers check access to records. The customer agrees the source, destination, authentication method, permitted fields and transfer purpose for each enabled connection.</w:t>
      </w:r>
    </w:p>
    <w:p>
      <w:r>
        <w:br w:type="page"/>
      </w:r>
    </w:p>
    <w:p>
      <w:pPr>
        <w:pStyle w:val="Heading1"/>
      </w:pPr>
      <w:r>
        <w:t>Identity privacy and operational security</w:t>
      </w:r>
    </w:p>
    <w:p>
      <w:pPr>
        <w:pStyle w:val="Heading2"/>
      </w:pPr>
      <w:r>
        <w:t>How are user and support privileges managed?</w:t>
      </w:r>
    </w:p>
    <w:p>
      <w:r>
        <w:t>Application groups, model permissions and record rules govern business access. Employee document permissions distinguish self-service reading, HR maintenance and managerial actions. Support sessions require a reason and time limit, leave a customer-side record and can be refused by the customer.</w:t>
      </w:r>
    </w:p>
    <w:p>
      <w:pPr>
        <w:pStyle w:val="Heading2"/>
      </w:pPr>
      <w:r>
        <w:t>Are single sign-on and multi-factor authentication available?</w:t>
      </w:r>
    </w:p>
    <w:p>
      <w:r>
        <w:t>A Zoho sign-in integration supports the OAuth authorisation-code flow with PKCE. Identity-provider selection, account linking, multi-factor enforcement and session policy are confirmed for each deployment. SAML/OIDC compatibility or mandatory MFA across all privileged roles should be stated only for configured and tested routes.</w:t>
      </w:r>
    </w:p>
    <w:p>
      <w:pPr>
        <w:pStyle w:val="Heading2"/>
      </w:pPr>
      <w:r>
        <w:t>How is information protected in AI-assisted features?</w:t>
      </w:r>
    </w:p>
    <w:p>
      <w:r>
        <w:t>AI-assisted analysis and document processing are supporting platform services. Local inference and local OCR are supported. In a verified private configuration, business content is processed within the approved hosting environment without transmission to external AI providers. External provider, transcription and fallback routes must be disabled or blocked; access checks and supported identifier redaction provide additional safeguards. Authorised users retain decision and approval responsibility.</w:t>
      </w:r>
    </w:p>
    <w:p>
      <w:pPr>
        <w:pStyle w:val="Heading2"/>
      </w:pPr>
      <w:r>
        <w:t>Which activities are audited?</w:t>
      </w:r>
    </w:p>
    <w:p>
      <w:r>
        <w:t>Configured changes to selected business fields record actor, timestamp and before/after values. Audit-reader permissions and retention control access and lifecycle. Coverage of record views, exports and IP addresses must be checked separately. Application audit records are not represented as immutable storage against privileged administrators.</w:t>
      </w:r>
    </w:p>
    <w:p>
      <w:pPr>
        <w:pStyle w:val="Heading2"/>
      </w:pPr>
      <w:r>
        <w:t>How are availability and recovery managed?</w:t>
      </w:r>
    </w:p>
    <w:p>
      <w:r>
        <w:t>Health, backup and certificate monitoring produce operational alerts. Backup tooling and restore-based rollout rehearsal are documented. Off-site copies, full disaster-recovery drills, retention, recovery point objective and recovery time objective are agreed and evidenced for the customer service; no universal Multi-AZ or 30-day PITR guarantee is implied.</w:t>
      </w:r>
    </w:p>
    <w:p>
      <w:pPr>
        <w:pStyle w:val="Heading2"/>
      </w:pPr>
      <w:r>
        <w:t>What cybersecurity and certification assurances apply?</w:t>
      </w:r>
    </w:p>
    <w:p>
      <w:r>
        <w:t>The assessment covers patching, vulnerability management, incident response, personnel controls and supplier assurance. The technology supplier has announced ISO/IEC 27001:2022 certification, which remains limited to its certified scope. Payobook certification and SOC 2 attestation are not inherited. Notification timelines, support coverage and personnel policies follow the agreed contract and supporting evidence.</w:t>
      </w:r>
    </w:p>
    <w:p>
      <w:r>
        <w:br w:type="page"/>
      </w:r>
    </w:p>
    <w:p>
      <w:pPr>
        <w:pStyle w:val="Heading1"/>
      </w:pPr>
      <w:r>
        <w:t>Vendor assessment of application controls</w:t>
      </w:r>
    </w:p>
    <w:p>
      <w:r>
        <w:t>Use this checklist to record the evidence applicable to the customer environment. “Implemented capability” identifies platform functionality; it is not an independent compliance attestation or proof of configuration in every deployment.</w:t>
      </w:r>
    </w:p>
    <w:tbl>
      <w:tblPr>
        <w:tblW w:type="auto" w:w="0"/>
        <w:jc w:val="center"/>
        <w:tblLayout w:type="fixed"/>
        <w:tblLook w:firstColumn="1" w:firstRow="1" w:lastColumn="0" w:lastRow="0" w:noHBand="0" w:noVBand="1" w:val="04A0"/>
      </w:tblPr>
      <w:tblGrid>
        <w:gridCol w:w="1973"/>
        <w:gridCol w:w="4090"/>
        <w:gridCol w:w="3773"/>
      </w:tblGrid>
      <w:tr>
        <w:trPr>
          <w:tblHeader/>
          <w:cantSplit/>
        </w:trPr>
        <w:tc>
          <w:tcPr>
            <w:tcW w:type="dxa" w:w="1973"/>
            <w:vAlign w:val="center"/>
            <w:shd w:fill="153D5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color w:val="FFFFFF"/>
                <w:sz w:val="18"/>
              </w:rPr>
              <w:t>Control and owner</w:t>
            </w:r>
          </w:p>
        </w:tc>
        <w:tc>
          <w:tcPr>
            <w:tcW w:type="dxa" w:w="4090"/>
            <w:vAlign w:val="center"/>
            <w:shd w:fill="153D5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color w:val="FFFFFF"/>
                <w:sz w:val="18"/>
              </w:rPr>
              <w:t>Assessment response</w:t>
            </w:r>
          </w:p>
        </w:tc>
        <w:tc>
          <w:tcPr>
            <w:tcW w:type="dxa" w:w="3773"/>
            <w:vAlign w:val="center"/>
            <w:shd w:fill="153D5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color w:val="FFFFFF"/>
                <w:sz w:val="18"/>
              </w:rPr>
              <w:t>Status and evidence to retain</w:t>
            </w:r>
          </w:p>
        </w:tc>
      </w:tr>
      <w:tr>
        <w:trPr>
          <w:cantSplit/>
        </w:trPr>
        <w:tc>
          <w:tcPr>
            <w:tcW w:type="dxa" w:w="1973"/>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Architecture</w:t>
              <w:br/>
              <w:t>Payobook</w:t>
            </w:r>
          </w:p>
        </w:tc>
        <w:tc>
          <w:tcPr>
            <w:tcW w:type="dxa" w:w="409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Five logical layers share application permissions and transaction services.</w:t>
            </w:r>
          </w:p>
        </w:tc>
        <w:tc>
          <w:tcPr>
            <w:tcW w:type="dxa" w:w="3773"/>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Implemented capability</w:t>
              <w:br/>
              <w:t>Architecture diagram and module inventory.</w:t>
            </w:r>
          </w:p>
        </w:tc>
      </w:tr>
      <w:tr>
        <w:trPr>
          <w:cantSplit/>
        </w:trPr>
        <w:tc>
          <w:tcPr>
            <w:tcW w:type="dxa" w:w="1973"/>
            <w:vAlign w:val="center"/>
            <w:shd w:fill="EF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Tenant separation</w:t>
              <w:br/>
              <w:t>Payobook operations</w:t>
            </w:r>
          </w:p>
        </w:tc>
        <w:tc>
          <w:tcPr>
            <w:tcW w:type="dxa" w:w="4090"/>
            <w:vAlign w:val="center"/>
            <w:shd w:fill="EF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Customer databases are separated; company and record rules govern access within each database.</w:t>
            </w:r>
          </w:p>
        </w:tc>
        <w:tc>
          <w:tcPr>
            <w:tcW w:type="dxa" w:w="3773"/>
            <w:vAlign w:val="center"/>
            <w:shd w:fill="EF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Implemented capability</w:t>
              <w:br/>
              <w:t>Database routing and cross-user/company access tests.</w:t>
            </w:r>
          </w:p>
        </w:tc>
      </w:tr>
      <w:tr>
        <w:trPr>
          <w:cantSplit/>
        </w:trPr>
        <w:tc>
          <w:tcPr>
            <w:tcW w:type="dxa" w:w="1973"/>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Business access</w:t>
              <w:br/>
              <w:t>Payobook + customer</w:t>
            </w:r>
          </w:p>
        </w:tc>
        <w:tc>
          <w:tcPr>
            <w:tcW w:type="dxa" w:w="409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Groups, model permissions and record rules restrict business operations and sensitive records.</w:t>
            </w:r>
          </w:p>
        </w:tc>
        <w:tc>
          <w:tcPr>
            <w:tcW w:type="dxa" w:w="3773"/>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Implemented capability</w:t>
              <w:br/>
              <w:t>Role matrix, joiner/leaver process and access-review results.</w:t>
            </w:r>
          </w:p>
        </w:tc>
      </w:tr>
      <w:tr>
        <w:trPr>
          <w:cantSplit/>
        </w:trPr>
        <w:tc>
          <w:tcPr>
            <w:tcW w:type="dxa" w:w="1973"/>
            <w:vAlign w:val="center"/>
            <w:shd w:fill="EF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Support access</w:t>
              <w:br/>
              <w:t>Payobook + customer</w:t>
            </w:r>
          </w:p>
        </w:tc>
        <w:tc>
          <w:tcPr>
            <w:tcW w:type="dxa" w:w="4090"/>
            <w:vAlign w:val="center"/>
            <w:shd w:fill="EF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Reasoned, time-limited support sessions are logged; customers can refuse access.</w:t>
            </w:r>
          </w:p>
        </w:tc>
        <w:tc>
          <w:tcPr>
            <w:tcW w:type="dxa" w:w="3773"/>
            <w:vAlign w:val="center"/>
            <w:shd w:fill="EF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Implemented capability</w:t>
              <w:br/>
              <w:t>Support configuration and sampled session records.</w:t>
            </w:r>
          </w:p>
        </w:tc>
      </w:tr>
      <w:tr>
        <w:trPr>
          <w:cantSplit/>
        </w:trPr>
        <w:tc>
          <w:tcPr>
            <w:tcW w:type="dxa" w:w="1973"/>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Integration controls</w:t>
              <w:br/>
              <w:t>Payobook + customer</w:t>
            </w:r>
          </w:p>
        </w:tc>
        <w:tc>
          <w:tcPr>
            <w:tcW w:type="dxa" w:w="409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Mappings, transformation rules and ledger access checks support controlled exchange.</w:t>
            </w:r>
          </w:p>
        </w:tc>
        <w:tc>
          <w:tcPr>
            <w:tcW w:type="dxa" w:w="3773"/>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Implemented capability</w:t>
              <w:br/>
              <w:t>Approved destinations, credentials scope and integration tests.</w:t>
            </w:r>
          </w:p>
        </w:tc>
      </w:tr>
      <w:tr>
        <w:trPr>
          <w:cantSplit/>
        </w:trPr>
        <w:tc>
          <w:tcPr>
            <w:tcW w:type="dxa" w:w="1973"/>
            <w:vAlign w:val="center"/>
            <w:shd w:fill="EF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Audit trail</w:t>
              <w:br/>
              <w:t>Payobook</w:t>
            </w:r>
          </w:p>
        </w:tc>
        <w:tc>
          <w:tcPr>
            <w:tcW w:type="dxa" w:w="4090"/>
            <w:vAlign w:val="center"/>
            <w:shd w:fill="EF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Selected field changes capture actor, time and before/after values; reader and retention controls apply.</w:t>
            </w:r>
          </w:p>
        </w:tc>
        <w:tc>
          <w:tcPr>
            <w:tcW w:type="dxa" w:w="3773"/>
            <w:vAlign w:val="center"/>
            <w:shd w:fill="EF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Implemented capability</w:t>
              <w:br/>
              <w:t>Audited-model inventory, sample records and retention settings.</w:t>
            </w:r>
          </w:p>
        </w:tc>
      </w:tr>
      <w:tr>
        <w:trPr>
          <w:cantSplit/>
        </w:trPr>
        <w:tc>
          <w:tcPr>
            <w:tcW w:type="dxa" w:w="1973"/>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Private processing</w:t>
              <w:br/>
              <w:t>Payobook operations</w:t>
            </w:r>
          </w:p>
        </w:tc>
        <w:tc>
          <w:tcPr>
            <w:tcW w:type="dxa" w:w="409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Local inference and OCR are supported; a no-external-AI-transfer profile needs endpoint and outbound controls.</w:t>
            </w:r>
          </w:p>
        </w:tc>
        <w:tc>
          <w:tcPr>
            <w:tcW w:type="dxa" w:w="3773"/>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Configuration required</w:t>
              <w:br/>
              <w:t>Provider settings, network policy and egress/fallback test results.</w:t>
            </w:r>
          </w:p>
        </w:tc>
      </w:tr>
      <w:tr>
        <w:trPr>
          <w:cantSplit/>
        </w:trPr>
        <w:tc>
          <w:tcPr>
            <w:tcW w:type="dxa" w:w="1973"/>
            <w:vAlign w:val="center"/>
            <w:shd w:fill="EF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Authentication</w:t>
              <w:br/>
              <w:t>Payobook + customer</w:t>
            </w:r>
          </w:p>
        </w:tc>
        <w:tc>
          <w:tcPr>
            <w:tcW w:type="dxa" w:w="4090"/>
            <w:vAlign w:val="center"/>
            <w:shd w:fill="EF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Zoho OAuth sign-in is implemented; MFA and other identity integrations depend on the configured route.</w:t>
            </w:r>
          </w:p>
        </w:tc>
        <w:tc>
          <w:tcPr>
            <w:tcW w:type="dxa" w:w="3773"/>
            <w:vAlign w:val="center"/>
            <w:shd w:fill="EF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Configuration required</w:t>
              <w:br/>
              <w:t>Identity flow tests, privileged MFA and session policy.</w:t>
            </w:r>
          </w:p>
        </w:tc>
      </w:tr>
    </w:tbl>
    <w:p>
      <w:pPr>
        <w:spacing w:after="0"/>
      </w:pPr>
    </w:p>
    <w:p>
      <w:r>
        <w:t>The customer controls user authorisation and approved data exchange. Payobook configures the application and operating environment. Hosting-provider controls should be assessed against the exact services and regions used.</w:t>
      </w:r>
    </w:p>
    <w:p>
      <w:r>
        <w:br w:type="page"/>
      </w:r>
    </w:p>
    <w:p>
      <w:pPr>
        <w:pStyle w:val="Heading1"/>
      </w:pPr>
      <w:r>
        <w:t>Vendor assessment of infrastructure and assurance</w:t>
      </w:r>
    </w:p>
    <w:tbl>
      <w:tblPr>
        <w:tblW w:type="auto" w:w="0"/>
        <w:jc w:val="center"/>
        <w:tblLayout w:type="fixed"/>
        <w:tblLook w:firstColumn="1" w:firstRow="1" w:lastColumn="0" w:lastRow="0" w:noHBand="0" w:noVBand="1" w:val="04A0"/>
      </w:tblPr>
      <w:tblGrid>
        <w:gridCol w:w="1973"/>
        <w:gridCol w:w="4090"/>
        <w:gridCol w:w="3773"/>
      </w:tblGrid>
      <w:tr>
        <w:trPr>
          <w:tblHeader/>
          <w:cantSplit/>
        </w:trPr>
        <w:tc>
          <w:tcPr>
            <w:tcW w:type="dxa" w:w="1973"/>
            <w:vAlign w:val="center"/>
            <w:shd w:fill="153D5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color w:val="FFFFFF"/>
                <w:sz w:val="18"/>
              </w:rPr>
              <w:t>Control and owner</w:t>
            </w:r>
          </w:p>
        </w:tc>
        <w:tc>
          <w:tcPr>
            <w:tcW w:type="dxa" w:w="4090"/>
            <w:vAlign w:val="center"/>
            <w:shd w:fill="153D5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color w:val="FFFFFF"/>
                <w:sz w:val="18"/>
              </w:rPr>
              <w:t>Assessment response</w:t>
            </w:r>
          </w:p>
        </w:tc>
        <w:tc>
          <w:tcPr>
            <w:tcW w:type="dxa" w:w="3773"/>
            <w:vAlign w:val="center"/>
            <w:shd w:fill="153D56"/>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color w:val="FFFFFF"/>
                <w:sz w:val="18"/>
              </w:rPr>
              <w:t>Status and evidence to retain</w:t>
            </w:r>
          </w:p>
        </w:tc>
      </w:tr>
      <w:tr>
        <w:trPr>
          <w:cantSplit/>
        </w:trPr>
        <w:tc>
          <w:tcPr>
            <w:tcW w:type="dxa" w:w="1973"/>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Hosting assurance</w:t>
              <w:br/>
              <w:t>Hosting provider + Payobook</w:t>
            </w:r>
          </w:p>
        </w:tc>
        <w:tc>
          <w:tcPr>
            <w:tcW w:type="dxa" w:w="409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Documented hosting uses AWS Lightsail. Provider certification coverage must match the selected services.</w:t>
            </w:r>
          </w:p>
        </w:tc>
        <w:tc>
          <w:tcPr>
            <w:tcW w:type="dxa" w:w="3773"/>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Scope confirmation</w:t>
              <w:br/>
              <w:t>Service inventory, region and applicable provider reports.</w:t>
            </w:r>
          </w:p>
        </w:tc>
      </w:tr>
      <w:tr>
        <w:trPr>
          <w:cantSplit/>
        </w:trPr>
        <w:tc>
          <w:tcPr>
            <w:tcW w:type="dxa" w:w="1973"/>
            <w:vAlign w:val="center"/>
            <w:shd w:fill="EF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Transport protection</w:t>
              <w:br/>
              <w:t>Payobook operations</w:t>
            </w:r>
          </w:p>
        </w:tc>
        <w:tc>
          <w:tcPr>
            <w:tcW w:type="dxa" w:w="4090"/>
            <w:vAlign w:val="center"/>
            <w:shd w:fill="EF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HTTPS and certificate monitoring are documented. Confirm protocol, header and internal-link settings.</w:t>
            </w:r>
          </w:p>
        </w:tc>
        <w:tc>
          <w:tcPr>
            <w:tcW w:type="dxa" w:w="3773"/>
            <w:vAlign w:val="center"/>
            <w:shd w:fill="EF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Configuration required</w:t>
              <w:br/>
              <w:t>TLS scan, certificate settings and network configuration.</w:t>
            </w:r>
          </w:p>
        </w:tc>
      </w:tr>
      <w:tr>
        <w:trPr>
          <w:cantSplit/>
        </w:trPr>
        <w:tc>
          <w:tcPr>
            <w:tcW w:type="dxa" w:w="1973"/>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Encryption and keys</w:t>
              <w:br/>
              <w:t>Payobook operations</w:t>
            </w:r>
          </w:p>
        </w:tc>
        <w:tc>
          <w:tcPr>
            <w:tcW w:type="dxa" w:w="409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Specify encryption for databases, attachments and backups, with restricted key access.</w:t>
            </w:r>
          </w:p>
        </w:tc>
        <w:tc>
          <w:tcPr>
            <w:tcW w:type="dxa" w:w="3773"/>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Evidence required</w:t>
              <w:br/>
              <w:t>Storage/key settings, ownership, rotation and recovery procedure.</w:t>
            </w:r>
          </w:p>
        </w:tc>
      </w:tr>
      <w:tr>
        <w:trPr>
          <w:cantSplit/>
        </w:trPr>
        <w:tc>
          <w:tcPr>
            <w:tcW w:type="dxa" w:w="1973"/>
            <w:vAlign w:val="center"/>
            <w:shd w:fill="EF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Perimeter protection</w:t>
              <w:br/>
              <w:t>Payobook operations</w:t>
            </w:r>
          </w:p>
        </w:tc>
        <w:tc>
          <w:tcPr>
            <w:tcW w:type="dxa" w:w="4090"/>
            <w:vAlign w:val="center"/>
            <w:shd w:fill="EF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Document network restrictions, administrative entry points and applicable rate limiting/WAF controls.</w:t>
            </w:r>
          </w:p>
        </w:tc>
        <w:tc>
          <w:tcPr>
            <w:tcW w:type="dxa" w:w="3773"/>
            <w:vAlign w:val="center"/>
            <w:shd w:fill="EF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Evidence required</w:t>
              <w:br/>
              <w:t>Firewall rules, endpoint inventory and perimeter tests.</w:t>
            </w:r>
          </w:p>
        </w:tc>
      </w:tr>
      <w:tr>
        <w:trPr>
          <w:cantSplit/>
        </w:trPr>
        <w:tc>
          <w:tcPr>
            <w:tcW w:type="dxa" w:w="1973"/>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Recovery and logging</w:t>
              <w:br/>
              <w:t>Payobook operations</w:t>
            </w:r>
          </w:p>
        </w:tc>
        <w:tc>
          <w:tcPr>
            <w:tcW w:type="dxa" w:w="409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Backup and monitoring tools exist. Independent backups, immutable logging and recovery SLAs need separate evidence.</w:t>
            </w:r>
          </w:p>
        </w:tc>
        <w:tc>
          <w:tcPr>
            <w:tcW w:type="dxa" w:w="3773"/>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Evidence required</w:t>
              <w:br/>
              <w:t>Retention, off-site copies, recovery drill and agreed RPO/RTO.</w:t>
            </w:r>
          </w:p>
        </w:tc>
      </w:tr>
      <w:tr>
        <w:trPr>
          <w:cantSplit/>
        </w:trPr>
        <w:tc>
          <w:tcPr>
            <w:tcW w:type="dxa" w:w="1973"/>
            <w:vAlign w:val="center"/>
            <w:shd w:fill="EF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Security maintenance</w:t>
              <w:br/>
              <w:t>Payobook operations</w:t>
            </w:r>
          </w:p>
        </w:tc>
        <w:tc>
          <w:tcPr>
            <w:tcW w:type="dxa" w:w="4090"/>
            <w:vAlign w:val="center"/>
            <w:shd w:fill="EF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Controlled rollout tooling supports changes; scanning coverage and patch response are defined operationally.</w:t>
            </w:r>
          </w:p>
        </w:tc>
        <w:tc>
          <w:tcPr>
            <w:tcW w:type="dxa" w:w="3773"/>
            <w:vAlign w:val="center"/>
            <w:shd w:fill="EF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Evidence required</w:t>
              <w:br/>
              <w:t>Scan results, remediation records and patch policy.</w:t>
            </w:r>
          </w:p>
        </w:tc>
      </w:tr>
      <w:tr>
        <w:trPr>
          <w:cantSplit/>
        </w:trPr>
        <w:tc>
          <w:tcPr>
            <w:tcW w:type="dxa" w:w="1973"/>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People and incidents</w:t>
              <w:br/>
              <w:t>Payobook management</w:t>
            </w:r>
          </w:p>
        </w:tc>
        <w:tc>
          <w:tcPr>
            <w:tcW w:type="dxa" w:w="409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Access obligations, training, response responsibilities and client notification follow approved policies and contracts.</w:t>
            </w:r>
          </w:p>
        </w:tc>
        <w:tc>
          <w:tcPr>
            <w:tcW w:type="dxa" w:w="3773"/>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Evidence required</w:t>
              <w:br/>
              <w:t>Personnel policy, incident plan and notification commitments.</w:t>
            </w:r>
          </w:p>
        </w:tc>
      </w:tr>
      <w:tr>
        <w:trPr>
          <w:cantSplit/>
        </w:trPr>
        <w:tc>
          <w:tcPr>
            <w:tcW w:type="dxa" w:w="1973"/>
            <w:vAlign w:val="center"/>
            <w:shd w:fill="EF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Certification</w:t>
              <w:br/>
              <w:t>Supplier + Payobook</w:t>
            </w:r>
          </w:p>
        </w:tc>
        <w:tc>
          <w:tcPr>
            <w:tcW w:type="dxa" w:w="4090"/>
            <w:vAlign w:val="center"/>
            <w:shd w:fill="EF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Supplier ISO/IEC 27001:2022 certification is scope-bound. It does not certify the Payobook deployment.</w:t>
            </w:r>
          </w:p>
        </w:tc>
        <w:tc>
          <w:tcPr>
            <w:tcW w:type="dxa" w:w="3773"/>
            <w:vAlign w:val="center"/>
            <w:shd w:fill="EFF5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after="40" w:before="40" w:line="254" w:lineRule="auto"/>
            </w:pPr>
            <w:r>
              <w:rPr>
                <w:b w:val="0"/>
                <w:color w:val="172A38"/>
                <w:sz w:val="18"/>
              </w:rPr>
              <w:t>Scope confirmation</w:t>
              <w:br/>
              <w:t>Certificate validity and scope; separate Payobook attestation if applicable.</w:t>
            </w:r>
          </w:p>
        </w:tc>
      </w:tr>
    </w:tbl>
    <w:p>
      <w:pPr>
        <w:spacing w:after="0"/>
      </w:pPr>
    </w:p>
    <w:p>
      <w:r>
        <w:t>Assessment completion: record the customer environment, reviewer, review date, evidence references and any agreed exceptions before using the matrix as a completed vendor assurance response.</w:t>
      </w:r>
    </w:p>
    <w:p>
      <w:r>
        <w:rPr>
          <w:sz w:val="16"/>
        </w:rPr>
        <w:t xml:space="preserve">Standards reference </w:t>
      </w:r>
      <w:hyperlink r:id="rId11">
        <w:r>
          <w:rPr>
            <w:color w:val="087E8B"/>
            <w:sz w:val="16"/>
          </w:rPr>
          <w:t>https://www.iso.org/standard/27001</w:t>
        </w:r>
      </w:hyperlink>
    </w:p>
    <w:sectPr w:rsidR="00FC693F" w:rsidRPr="0006063C" w:rsidSect="00034616">
      <w:headerReference w:type="default" r:id="rId9"/>
      <w:footerReference w:type="default" r:id="rId10"/>
      <w:pgSz w:w="11909" w:h="16834"/>
      <w:pgMar w:top="936"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526575"/>
        <w:sz w:val="16"/>
      </w:rPr>
      <w:t xml:space="preserve">Client architecture and security review  |  v2  |  15 September 2026  |  </w:t>
    </w:r>
    <w:r>
      <w:rPr>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000000"/>
        <w:sz w:val="16"/>
      </w:rPr>
      <w:t>PAYOBOOK  /  SECURITY AND VENDOR ASSURANCE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59"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line="259" w:lineRule="auto"/>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40" w:after="140" w:line="259" w:lineRule="auto"/>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alibri" w:hAnsi="Calibri"/>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9" w:lineRule="auto"/>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color w:val="000000"/>
    </w:rPr>
  </w:style>
  <w:style w:type="paragraph" w:styleId="BodyText">
    <w:name w:val="Body Text"/>
    <w:basedOn w:val="Normal"/>
    <w:link w:val="BodyTextChar"/>
    <w:uiPriority w:val="99"/>
    <w:unhideWhenUsed/>
    <w:rsid w:val="00AA1D8D"/>
    <w:pPr>
      <w:spacing w:after="120"/>
    </w:pPr>
    <w:rPr>
      <w:rFonts w:ascii="Calibri" w:hAnsi="Calibri"/>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Calibri" w:hAnsi="Calibri"/>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Calibri" w:hAnsi="Calibri"/>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Calibri" w:hAnsi="Calibri"/>
      <w:color w:val="000000"/>
    </w:rPr>
  </w:style>
  <w:style w:type="paragraph" w:styleId="List2">
    <w:name w:val="List 2"/>
    <w:basedOn w:val="Normal"/>
    <w:uiPriority w:val="99"/>
    <w:unhideWhenUsed/>
    <w:rsid w:val="00326F90"/>
    <w:pPr>
      <w:ind w:left="720" w:hanging="360"/>
      <w:contextualSpacing/>
    </w:pPr>
    <w:rPr>
      <w:rFonts w:ascii="Calibri" w:hAnsi="Calibri"/>
      <w:color w:val="000000"/>
    </w:rPr>
  </w:style>
  <w:style w:type="paragraph" w:styleId="List3">
    <w:name w:val="List 3"/>
    <w:basedOn w:val="Normal"/>
    <w:uiPriority w:val="99"/>
    <w:unhideWhenUsed/>
    <w:rsid w:val="00326F90"/>
    <w:pPr>
      <w:ind w:left="1080" w:hanging="360"/>
      <w:contextualSpacing/>
    </w:pPr>
    <w:rPr>
      <w:rFonts w:ascii="Calibri" w:hAnsi="Calibri"/>
      <w:color w:val="000000"/>
    </w:r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rPr>
      <w:rFonts w:ascii="Calibri" w:hAnsi="Calibri"/>
      <w:color w:val="000000"/>
    </w:rPr>
  </w:style>
  <w:style w:type="paragraph" w:styleId="ListBullet3">
    <w:name w:val="List Bullet 3"/>
    <w:basedOn w:val="Normal"/>
    <w:uiPriority w:val="99"/>
    <w:unhideWhenUsed/>
    <w:rsid w:val="00326F90"/>
    <w:pPr>
      <w:numPr>
        <w:numId w:val="3"/>
      </w:numPr>
      <w:contextualSpacing/>
    </w:pPr>
    <w:rPr>
      <w:rFonts w:ascii="Calibri" w:hAnsi="Calibri"/>
      <w:color w:val="000000"/>
    </w:rPr>
  </w:style>
  <w:style w:type="paragraph" w:styleId="ListNumber">
    <w:name w:val="List Number"/>
    <w:basedOn w:val="Normal"/>
    <w:uiPriority w:val="99"/>
    <w:unhideWhenUsed/>
    <w:rsid w:val="00326F90"/>
    <w:pPr>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rPr>
      <w:rFonts w:ascii="Calibri" w:hAnsi="Calibri"/>
      <w:color w:val="000000"/>
    </w:rPr>
  </w:style>
  <w:style w:type="paragraph" w:styleId="ListNumber3">
    <w:name w:val="List Number 3"/>
    <w:basedOn w:val="Normal"/>
    <w:uiPriority w:val="99"/>
    <w:unhideWhenUsed/>
    <w:rsid w:val="0029639D"/>
    <w:pPr>
      <w:numPr>
        <w:numId w:val="7"/>
      </w:numPr>
      <w:contextualSpacing/>
    </w:pPr>
    <w:rPr>
      <w:rFonts w:ascii="Calibri" w:hAnsi="Calibri"/>
      <w:color w:val="000000"/>
    </w:rPr>
  </w:style>
  <w:style w:type="paragraph" w:styleId="ListContinue">
    <w:name w:val="List Continue"/>
    <w:basedOn w:val="Normal"/>
    <w:uiPriority w:val="99"/>
    <w:unhideWhenUsed/>
    <w:rsid w:val="0029639D"/>
    <w:pPr>
      <w:spacing w:after="120"/>
      <w:ind w:left="360"/>
      <w:contextualSpacing/>
    </w:pPr>
    <w:rPr>
      <w:rFonts w:ascii="Calibri" w:hAnsi="Calibri"/>
      <w:color w:val="000000"/>
    </w:rPr>
  </w:style>
  <w:style w:type="paragraph" w:styleId="ListContinue2">
    <w:name w:val="List Continue 2"/>
    <w:basedOn w:val="Normal"/>
    <w:uiPriority w:val="99"/>
    <w:unhideWhenUsed/>
    <w:rsid w:val="0029639D"/>
    <w:pPr>
      <w:spacing w:after="120"/>
      <w:ind w:left="720"/>
      <w:contextualSpacing/>
    </w:pPr>
    <w:rPr>
      <w:rFonts w:ascii="Calibri" w:hAnsi="Calibri"/>
      <w:color w:val="000000"/>
    </w:rPr>
  </w:style>
  <w:style w:type="paragraph" w:styleId="ListContinue3">
    <w:name w:val="List Continue 3"/>
    <w:basedOn w:val="Normal"/>
    <w:uiPriority w:val="99"/>
    <w:unhideWhenUsed/>
    <w:rsid w:val="0029639D"/>
    <w:pPr>
      <w:spacing w:after="120"/>
      <w:ind w:left="1080"/>
      <w:contextualSpacing/>
    </w:pPr>
    <w:rPr>
      <w:rFonts w:ascii="Calibri" w:hAnsi="Calibri"/>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Calibri" w:hAnsi="Calibri"/>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Calibri" w:hAnsi="Calibri"/>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iso.org/standard/27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Payobook Security FAQ and Vendor Assessment</dc:title>
  <dc:subject>Security and vendor assurance</dc:subject>
  <dc:creator>Payobook</dc:creator>
  <cp:keywords>Payobook, architecture, security, v2</cp:keywords>
  <dc:description/>
  <cp:lastModifiedBy/>
  <cp:revision>1</cp:revision>
  <dcterms:created xsi:type="dcterms:W3CDTF">2013-12-23T23:15:00Z</dcterms:created>
  <dcterms:modified xsi:type="dcterms:W3CDTF">2013-12-23T23:15:00Z</dcterms:modified>
  <cp:category/>
</cp:coreProperties>
</file>