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Third-party CRM / clinical-notes supplier: what Vietnamese law requires, and what to ask</w:t>
      </w:r>
    </w:p>
    <w:p>
      <w:pPr>
        <w:spacing w:after="120"/>
      </w:pPr>
      <w:r>
        <w:rPr>
          <w:rFonts w:ascii="Calibri" w:cs="Calibri" w:eastAsia="Calibri" w:hAnsi="Calibri"/>
          <w:i/>
          <w:iCs/>
          <w:color w:val="555555"/>
          <w:sz w:val="18"/>
          <w:szCs w:val="18"/>
        </w:rPr>
        <w:t xml:space="preserve">Render of SUMMARY_Third_Party_CRM_Supplier_Requirements_v20261011_V01.00.yaml (SOT). 2026-10-11 · DRAFT · Session 20261011_Nurse_EMR_014. Not legal advice.</w:t>
      </w:r>
    </w:p>
    <w:p>
      <w:pPr>
        <w:pBdr>
          <w:left w:val="single" w:color="2E5A88" w:sz="12" w:space="8"/>
        </w:pBdr>
        <w:spacing w:after="120"/>
        <w:ind w:left="540"/>
      </w:pPr>
      <w:r>
        <w:rPr>
          <w:rFonts w:ascii="Calibri" w:cs="Calibri" w:eastAsia="Calibri" w:hAnsi="Calibri"/>
          <w:i/>
          <w:iCs/>
          <w:sz w:val="20"/>
          <w:szCs w:val="20"/>
        </w:rPr>
        <w:t xml:space="preserve">Using a supplier's CRM does not hand over the clinics' legal duties. The supplier must prove its own obligations as a data processor - and the clinics must be able to prove they chose a compliant supplier, put the right terms in the contract, and checked. These are the questions that let them do both.</w:t>
      </w:r>
    </w:p>
    <w:p>
      <w:pPr>
        <w:pStyle w:val="Heading1"/>
      </w:pPr>
      <w:r>
        <w:rPr>
          <w:rFonts w:ascii="Calibri" w:cs="Calibri" w:eastAsia="Calibri" w:hAnsi="Calibri"/>
        </w:rPr>
        <w:t xml:space="preserve">Assumptions</w:t>
      </w:r>
    </w:p>
    <w:p>
      <w:pPr>
        <w:pStyle w:val="ListParagraph"/>
        <w:numPr>
          <w:ilvl w:val="0"/>
          <w:numId w:val="2"/>
        </w:numPr>
        <w:spacing w:after="60"/>
      </w:pPr>
      <w:r>
        <w:rPr>
          <w:rFonts w:ascii="Calibri" w:cs="Calibri" w:eastAsia="Calibri" w:hAnsi="Calibri"/>
          <w:sz w:val="19"/>
          <w:szCs w:val="19"/>
        </w:rPr>
        <w:t xml:space="preserve">The supplier provides the application and processes client data and some clinical notes on the clinics' behalf (hosted / SaaS, or with support access to live data).</w:t>
      </w:r>
    </w:p>
    <w:p>
      <w:pPr>
        <w:pStyle w:val="ListParagraph"/>
        <w:numPr>
          <w:ilvl w:val="0"/>
          <w:numId w:val="2"/>
        </w:numPr>
        <w:spacing w:after="60"/>
      </w:pPr>
      <w:r>
        <w:rPr>
          <w:rFonts w:ascii="Calibri" w:cs="Calibri" w:eastAsia="Calibri" w:hAnsi="Calibri"/>
          <w:sz w:val="19"/>
          <w:szCs w:val="19"/>
        </w:rPr>
        <w:t xml:space="preserve">Each clinic entity is the controller and the licensed establishment; the supplier is a processor.</w:t>
      </w:r>
    </w:p>
    <w:p>
      <w:pPr>
        <w:pStyle w:val="ListParagraph"/>
        <w:numPr>
          <w:ilvl w:val="0"/>
          <w:numId w:val="2"/>
        </w:numPr>
        <w:spacing w:after="60"/>
      </w:pPr>
      <w:r>
        <w:rPr>
          <w:rFonts w:ascii="Calibri" w:cs="Calibri" w:eastAsia="Calibri" w:hAnsi="Calibri"/>
          <w:sz w:val="19"/>
          <w:szCs w:val="19"/>
        </w:rPr>
        <w:t xml:space="preserve">The CRM does not give clinical decision support, so it is NOT a medical device; if it ever did, the device rules would apply.</w:t>
      </w:r>
    </w:p>
    <w:p>
      <w:pPr>
        <w:pStyle w:val="ListParagraph"/>
        <w:numPr>
          <w:ilvl w:val="0"/>
          <w:numId w:val="2"/>
        </w:numPr>
        <w:spacing w:after="60"/>
      </w:pPr>
      <w:r>
        <w:rPr>
          <w:rFonts w:ascii="Calibri" w:cs="Calibri" w:eastAsia="Calibri" w:hAnsi="Calibri"/>
          <w:sz w:val="19"/>
          <w:szCs w:val="19"/>
        </w:rPr>
        <w:t xml:space="preserve">All processing is expected to stay in Vietnam.</w:t>
      </w:r>
    </w:p>
    <w:p>
      <w:pPr>
        <w:pStyle w:val="Heading1"/>
      </w:pPr>
      <w:r>
        <w:rPr>
          <w:rFonts w:ascii="Calibri" w:cs="Calibri" w:eastAsia="Calibri" w:hAnsi="Calibri"/>
        </w:rPr>
        <w:t xml:space="preserve">Who proves what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B7B7B7" w:sz="4"/>
              <w:left w:val="single" w:color="B7B7B7" w:sz="4"/>
              <w:bottom w:val="single" w:color="B7B7B7" w:sz="4"/>
              <w:right w:val="single" w:color="B7B7B7" w:sz="4"/>
            </w:tcBorders>
            <w:shd w:fill="DCE6F1" w:color="auto" w:val="clear"/>
            <w:tcMar>
              <w:top w:type="dxa" w:w="40"/>
              <w:left w:type="dxa" w:w="80"/>
              <w:bottom w:type="dxa" w:w="40"/>
              <w:right w:type="dxa" w:w="80"/>
            </w:tcMar>
          </w:tcPr>
          <w:p>
            <w:r>
              <w:rPr>
                <w:rFonts w:ascii="Calibri" w:cs="Calibri" w:eastAsia="Calibri" w:hAnsi="Calibri"/>
                <w:b/>
                <w:bCs/>
                <w:sz w:val="17"/>
                <w:szCs w:val="17"/>
              </w:rPr>
              <w:t xml:space="preserve">Party</w:t>
            </w:r>
          </w:p>
        </w:tc>
        <w:tc>
          <w:tcPr>
            <w:tcW w:type="dxa" w:w="6600"/>
            <w:tcBorders>
              <w:top w:val="single" w:color="B7B7B7" w:sz="4"/>
              <w:left w:val="single" w:color="B7B7B7" w:sz="4"/>
              <w:bottom w:val="single" w:color="B7B7B7" w:sz="4"/>
              <w:right w:val="single" w:color="B7B7B7" w:sz="4"/>
            </w:tcBorders>
            <w:shd w:fill="DCE6F1" w:color="auto" w:val="clear"/>
            <w:tcMar>
              <w:top w:type="dxa" w:w="40"/>
              <w:left w:type="dxa" w:w="80"/>
              <w:bottom w:type="dxa" w:w="40"/>
              <w:right w:type="dxa" w:w="80"/>
            </w:tcMar>
          </w:tcPr>
          <w:p>
            <w:r>
              <w:rPr>
                <w:rFonts w:ascii="Calibri" w:cs="Calibri" w:eastAsia="Calibri" w:hAnsi="Calibri"/>
                <w:b/>
                <w:bCs/>
                <w:sz w:val="17"/>
                <w:szCs w:val="17"/>
              </w:rPr>
              <w:t xml:space="preserve">Must prove</w:t>
            </w:r>
          </w:p>
        </w:tc>
      </w:tr>
      <w:tr>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Supplier (processor)</w:t>
            </w:r>
          </w:p>
        </w:tc>
        <w:tc>
          <w:tcPr>
            <w:tcW w:type="dxa" w:w="66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Its own processor obligations: licensing to provide processing services, staffing, its own impact assessment, Vietnamese data residency, security, logs, incident handling - and that the application lets the clinic meet its record and consent duties.</w:t>
            </w:r>
          </w:p>
        </w:tc>
      </w:tr>
      <w:tr>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Clinic (controller, licensed establishment)</w:t>
            </w:r>
          </w:p>
        </w:tc>
        <w:tc>
          <w:tcPr>
            <w:tcW w:type="dxa" w:w="66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Its controller and medical-record obligations: consent, its own impact assessment filed within 60 days, a named data-protection officer, record retention and integrity, patients' rights - and that it chose, contracted with and verified the supplier.</w:t>
            </w:r>
          </w:p>
        </w:tc>
      </w:tr>
    </w:tbl>
    <w:p>
      <w:pPr>
        <w:spacing w:after="120"/>
      </w:pPr>
    </w:p>
    <w:p>
      <w:pPr>
        <w:pStyle w:val="Heading1"/>
      </w:pPr>
      <w:r>
        <w:rPr>
          <w:rFonts w:ascii="Calibri" w:cs="Calibri" w:eastAsia="Calibri" w:hAnsi="Calibri"/>
        </w:rPr>
        <w:t xml:space="preserve">Ten topics to raise with the supplier</w:t>
      </w:r>
    </w:p>
    <w:p>
      <w:pPr>
        <w:pStyle w:val="Heading2"/>
      </w:pPr>
      <w:r>
        <w:rPr>
          <w:rFonts w:ascii="Calibri" w:cs="Calibri" w:eastAsia="Calibri" w:hAnsi="Calibri"/>
        </w:rPr>
        <w:t xml:space="preserve">01. Is the supplier allowed to provide this service?</w:t>
      </w:r>
    </w:p>
    <w:p>
      <w:pPr>
        <w:spacing w:after="120"/>
      </w:pPr>
      <w:r>
        <w:rPr>
          <w:rFonts w:ascii="Calibri" w:cs="Calibri" w:eastAsia="Calibri" w:hAnsi="Calibri"/>
          <w:sz w:val="20"/>
          <w:szCs w:val="20"/>
        </w:rPr>
        <w:t xml:space="preserve">Operating software that processes personal data on a controller's behalf is, on the reference's reading, a conditional business needing a Ministry of Public Security (MPS) eligibility certificate. Conditions include Vietnamese incorporation, a Vietnamese-citizen head of processing resident in Vietnam, at least 3 qualified data-protection staff, and the supplier's own filed impact assessment.</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Do you hold the MPS certificate of eligibility to provide personal-data processing services? Since when, and for what scope?</w:t>
      </w:r>
    </w:p>
    <w:p>
      <w:pPr>
        <w:pStyle w:val="ListParagraph"/>
        <w:numPr>
          <w:ilvl w:val="0"/>
          <w:numId w:val="2"/>
        </w:numPr>
        <w:spacing w:after="60"/>
      </w:pPr>
      <w:r>
        <w:rPr>
          <w:rFonts w:ascii="Calibri" w:cs="Calibri" w:eastAsia="Calibri" w:hAnsi="Calibri"/>
          <w:sz w:val="19"/>
          <w:szCs w:val="19"/>
        </w:rPr>
        <w:t xml:space="preserve">Are you incorporated in Vietnam? Who is your head of data processing, and are they a Vietnamese citizen resident in Vietnam?</w:t>
      </w:r>
    </w:p>
    <w:p>
      <w:pPr>
        <w:pStyle w:val="ListParagraph"/>
        <w:numPr>
          <w:ilvl w:val="0"/>
          <w:numId w:val="2"/>
        </w:numPr>
        <w:spacing w:after="60"/>
      </w:pPr>
      <w:r>
        <w:rPr>
          <w:rFonts w:ascii="Calibri" w:cs="Calibri" w:eastAsia="Calibri" w:hAnsi="Calibri"/>
          <w:sz w:val="19"/>
          <w:szCs w:val="19"/>
        </w:rPr>
        <w:t xml:space="preserve">How many qualified data-protection staff do you employ, and what are their qualifications?</w:t>
      </w:r>
    </w:p>
    <w:p>
      <w:pPr>
        <w:pStyle w:val="ListParagraph"/>
        <w:numPr>
          <w:ilvl w:val="0"/>
          <w:numId w:val="2"/>
        </w:numPr>
        <w:spacing w:after="60"/>
      </w:pPr>
      <w:r>
        <w:rPr>
          <w:rFonts w:ascii="Calibri" w:cs="Calibri" w:eastAsia="Calibri" w:hAnsi="Calibri"/>
          <w:sz w:val="19"/>
          <w:szCs w:val="19"/>
        </w:rPr>
        <w:t xml:space="preserve">Has your own processing impact assessment been filed and accepted?</w:t>
      </w:r>
    </w:p>
    <w:p>
      <w:pPr>
        <w:spacing w:after="120"/>
      </w:pPr>
      <w:r>
        <w:rPr>
          <w:rFonts w:ascii="Calibri" w:cs="Calibri" w:eastAsia="Calibri" w:hAnsi="Calibri"/>
          <w:sz w:val="20"/>
          <w:szCs w:val="20"/>
        </w:rPr>
        <w:t xml:space="preserve">Evidence to request: MPS certificate; business registration; appointment and residence evidence; staff list with qualifications; filing acceptance.</w:t>
      </w:r>
    </w:p>
    <w:p>
      <w:pPr>
        <w:spacing w:after="120"/>
      </w:pPr>
      <w:r>
        <w:rPr>
          <w:rFonts w:ascii="Calibri" w:cs="Calibri" w:eastAsia="Calibri" w:hAnsi="Calibri"/>
          <w:i/>
          <w:iCs/>
          <w:color w:val="555555"/>
          <w:sz w:val="18"/>
          <w:szCs w:val="18"/>
        </w:rPr>
        <w:t xml:space="preserve">References: OB_J_001 ND356 Art. 21 item 1, Arts. 24-25 (MEDIUM); OB_J_002-005 ND356 Art. 22</w:t>
      </w:r>
    </w:p>
    <w:p>
      <w:pPr>
        <w:pStyle w:val="Heading2"/>
      </w:pPr>
      <w:r>
        <w:rPr>
          <w:rFonts w:ascii="Calibri" w:cs="Calibri" w:eastAsia="Calibri" w:hAnsi="Calibri"/>
        </w:rPr>
        <w:t xml:space="preserve">02. The contract - a data-processing agreement</w:t>
      </w:r>
    </w:p>
    <w:p>
      <w:pPr>
        <w:spacing w:after="120"/>
      </w:pPr>
      <w:r>
        <w:rPr>
          <w:rFonts w:ascii="Calibri" w:cs="Calibri" w:eastAsia="Calibri" w:hAnsi="Calibri"/>
          <w:sz w:val="20"/>
          <w:szCs w:val="20"/>
        </w:rPr>
        <w:t xml:space="preserve">No data may pass to the supplier before a signed data-processing agreement. Processing is limited to the agreed purposes. Cloud / hosting contracts must contain a Vietnamese data-protection clause, define data flows and each party's role, and require changes to be notified immediately. Contracts must allocate data governance, access control and cybersecurity responsibilities, and make clear what happens at and after the end of the service.</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Will you sign our data-processing agreement before receiving any data? May we see your standard terms?</w:t>
      </w:r>
    </w:p>
    <w:p>
      <w:pPr>
        <w:pStyle w:val="ListParagraph"/>
        <w:numPr>
          <w:ilvl w:val="0"/>
          <w:numId w:val="2"/>
        </w:numPr>
        <w:spacing w:after="60"/>
      </w:pPr>
      <w:r>
        <w:rPr>
          <w:rFonts w:ascii="Calibri" w:cs="Calibri" w:eastAsia="Calibri" w:hAnsi="Calibri"/>
          <w:sz w:val="19"/>
          <w:szCs w:val="19"/>
        </w:rPr>
        <w:t xml:space="preserve">How do you limit processing to our purposes - including support, analytics, AI features and model training?</w:t>
      </w:r>
    </w:p>
    <w:p>
      <w:pPr>
        <w:pStyle w:val="ListParagraph"/>
        <w:numPr>
          <w:ilvl w:val="0"/>
          <w:numId w:val="2"/>
        </w:numPr>
        <w:spacing w:after="60"/>
      </w:pPr>
      <w:r>
        <w:rPr>
          <w:rFonts w:ascii="Calibri" w:cs="Calibri" w:eastAsia="Calibri" w:hAnsi="Calibri"/>
          <w:sz w:val="19"/>
          <w:szCs w:val="19"/>
        </w:rPr>
        <w:t xml:space="preserve">Who are your sub-processors (hosting, backup, support tools), and how will you notify us of changes?</w:t>
      </w:r>
    </w:p>
    <w:p>
      <w:pPr>
        <w:pStyle w:val="ListParagraph"/>
        <w:numPr>
          <w:ilvl w:val="0"/>
          <w:numId w:val="2"/>
        </w:numPr>
        <w:spacing w:after="60"/>
      </w:pPr>
      <w:r>
        <w:rPr>
          <w:rFonts w:ascii="Calibri" w:cs="Calibri" w:eastAsia="Calibri" w:hAnsi="Calibri"/>
          <w:sz w:val="19"/>
          <w:szCs w:val="19"/>
        </w:rPr>
        <w:t xml:space="preserve">What happens to our data at the end of the contract - export format, timetable, deletion certificate?</w:t>
      </w:r>
    </w:p>
    <w:p>
      <w:pPr>
        <w:spacing w:after="120"/>
      </w:pPr>
      <w:r>
        <w:rPr>
          <w:rFonts w:ascii="Calibri" w:cs="Calibri" w:eastAsia="Calibri" w:hAnsi="Calibri"/>
          <w:sz w:val="20"/>
          <w:szCs w:val="20"/>
        </w:rPr>
        <w:t xml:space="preserve">Evidence to request: Draft DPA; sub-processor list; exit and data-return clause.</w:t>
      </w:r>
    </w:p>
    <w:p>
      <w:pPr>
        <w:spacing w:after="120"/>
      </w:pPr>
      <w:r>
        <w:rPr>
          <w:rFonts w:ascii="Calibri" w:cs="Calibri" w:eastAsia="Calibri" w:hAnsi="Calibri"/>
          <w:i/>
          <w:iCs/>
          <w:color w:val="555555"/>
          <w:sz w:val="18"/>
          <w:szCs w:val="18"/>
        </w:rPr>
        <w:t xml:space="preserve">References: OB_J_006-007 PDPL processor duties (article to confirm); OB_J_008-011 ND356 Art. 12; OB_J_012-013 ND331_2026 Art. 5(3)</w:t>
      </w:r>
    </w:p>
    <w:p>
      <w:pPr>
        <w:pStyle w:val="Heading2"/>
      </w:pPr>
      <w:r>
        <w:rPr>
          <w:rFonts w:ascii="Calibri" w:cs="Calibri" w:eastAsia="Calibri" w:hAnsi="Calibri"/>
        </w:rPr>
        <w:t xml:space="preserve">03. Data stays in Vietnam</w:t>
      </w:r>
    </w:p>
    <w:p>
      <w:pPr>
        <w:spacing w:after="120"/>
      </w:pPr>
      <w:r>
        <w:rPr>
          <w:rFonts w:ascii="Calibri" w:cs="Calibri" w:eastAsia="Calibri" w:hAnsi="Calibri"/>
          <w:sz w:val="20"/>
          <w:szCs w:val="20"/>
        </w:rPr>
        <w:t xml:space="preserve">Tenant users' personal data and user-created data must be stored in Vietnam. Any transfer abroad - including a foreign cloud region, a foreign AI or speech service, backups or support access from abroad - would trigger cross-border transfer dossiers.</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Where exactly are our data, backups and logs stored (provider, region, city)?</w:t>
      </w:r>
    </w:p>
    <w:p>
      <w:pPr>
        <w:pStyle w:val="ListParagraph"/>
        <w:numPr>
          <w:ilvl w:val="0"/>
          <w:numId w:val="2"/>
        </w:numPr>
        <w:spacing w:after="60"/>
      </w:pPr>
      <w:r>
        <w:rPr>
          <w:rFonts w:ascii="Calibri" w:cs="Calibri" w:eastAsia="Calibri" w:hAnsi="Calibri"/>
          <w:sz w:val="19"/>
          <w:szCs w:val="19"/>
        </w:rPr>
        <w:t xml:space="preserve">Does any component, sub-processor or support team process or access our data from outside Vietnam?</w:t>
      </w:r>
    </w:p>
    <w:p>
      <w:pPr>
        <w:pStyle w:val="ListParagraph"/>
        <w:numPr>
          <w:ilvl w:val="0"/>
          <w:numId w:val="2"/>
        </w:numPr>
        <w:spacing w:after="60"/>
      </w:pPr>
      <w:r>
        <w:rPr>
          <w:rFonts w:ascii="Calibri" w:cs="Calibri" w:eastAsia="Calibri" w:hAnsi="Calibri"/>
          <w:sz w:val="19"/>
          <w:szCs w:val="19"/>
        </w:rPr>
        <w:t xml:space="preserve">Do you use any foreign AI, translation or analytics service on our data?</w:t>
      </w:r>
    </w:p>
    <w:p>
      <w:pPr>
        <w:spacing w:after="120"/>
      </w:pPr>
      <w:r>
        <w:rPr>
          <w:rFonts w:ascii="Calibri" w:cs="Calibri" w:eastAsia="Calibri" w:hAnsi="Calibri"/>
          <w:sz w:val="20"/>
          <w:szCs w:val="20"/>
        </w:rPr>
        <w:t xml:space="preserve">Evidence to request: Hosting contract and region confirmation; data-flow diagram; support-access policy.</w:t>
      </w:r>
    </w:p>
    <w:p>
      <w:pPr>
        <w:spacing w:after="120"/>
      </w:pPr>
      <w:r>
        <w:rPr>
          <w:rFonts w:ascii="Calibri" w:cs="Calibri" w:eastAsia="Calibri" w:hAnsi="Calibri"/>
          <w:i/>
          <w:iCs/>
          <w:color w:val="555555"/>
          <w:sz w:val="18"/>
          <w:szCs w:val="18"/>
        </w:rPr>
        <w:t xml:space="preserve">References: OB_K_010 LANM Art. 25(3); OB_K_011 ND333_2026 Art. 19(2); OB_F_026-027 PDPL Art. 20, ND356 Art. 18(4); OB_F_040-041 ND165_2025 Art. 12 (scale thresholds)</w:t>
      </w:r>
    </w:p>
    <w:p>
      <w:pPr>
        <w:pStyle w:val="Heading2"/>
      </w:pPr>
      <w:r>
        <w:rPr>
          <w:rFonts w:ascii="Calibri" w:cs="Calibri" w:eastAsia="Calibri" w:hAnsi="Calibri"/>
        </w:rPr>
        <w:t xml:space="preserve">04. Security, logs and incidents</w:t>
      </w:r>
    </w:p>
    <w:p>
      <w:pPr>
        <w:spacing w:after="120"/>
      </w:pPr>
      <w:r>
        <w:rPr>
          <w:rFonts w:ascii="Calibri" w:cs="Calibri" w:eastAsia="Calibri" w:hAnsi="Calibri"/>
          <w:sz w:val="20"/>
          <w:szCs w:val="20"/>
        </w:rPr>
        <w:t xml:space="preserve">Patient data must be encrypted at rest and in transit. A supplier sharing infrastructure across clients must separate each client's system, network zone and storage logically (for higher-level systems). System logs must record account, login and logout time, IP address, source port and processing events, be retained at least 12 months and be usable for investigation. Lawful MPS requests must be answerable within 24 hours. The supplier must give each client the technical content for its own security-level filing.</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How is our data encrypted at rest and in transit, and who holds the keys?</w:t>
      </w:r>
    </w:p>
    <w:p>
      <w:pPr>
        <w:pStyle w:val="ListParagraph"/>
        <w:numPr>
          <w:ilvl w:val="0"/>
          <w:numId w:val="2"/>
        </w:numPr>
        <w:spacing w:after="60"/>
      </w:pPr>
      <w:r>
        <w:rPr>
          <w:rFonts w:ascii="Calibri" w:cs="Calibri" w:eastAsia="Calibri" w:hAnsi="Calibri"/>
          <w:sz w:val="19"/>
          <w:szCs w:val="19"/>
        </w:rPr>
        <w:t xml:space="preserve">How are we separated from your other clients?</w:t>
      </w:r>
    </w:p>
    <w:p>
      <w:pPr>
        <w:pStyle w:val="ListParagraph"/>
        <w:numPr>
          <w:ilvl w:val="0"/>
          <w:numId w:val="2"/>
        </w:numPr>
        <w:spacing w:after="60"/>
      </w:pPr>
      <w:r>
        <w:rPr>
          <w:rFonts w:ascii="Calibri" w:cs="Calibri" w:eastAsia="Calibri" w:hAnsi="Calibri"/>
          <w:sz w:val="19"/>
          <w:szCs w:val="19"/>
        </w:rPr>
        <w:t xml:space="preserve">What do your logs record, how long are they kept, and can we obtain them?</w:t>
      </w:r>
    </w:p>
    <w:p>
      <w:pPr>
        <w:pStyle w:val="ListParagraph"/>
        <w:numPr>
          <w:ilvl w:val="0"/>
          <w:numId w:val="2"/>
        </w:numPr>
        <w:spacing w:after="60"/>
      </w:pPr>
      <w:r>
        <w:rPr>
          <w:rFonts w:ascii="Calibri" w:cs="Calibri" w:eastAsia="Calibri" w:hAnsi="Calibri"/>
          <w:sz w:val="19"/>
          <w:szCs w:val="19"/>
        </w:rPr>
        <w:t xml:space="preserve">What is your incident process and your notification time to us? (We have 72 hours to notify the authority.)</w:t>
      </w:r>
    </w:p>
    <w:p>
      <w:pPr>
        <w:pStyle w:val="ListParagraph"/>
        <w:numPr>
          <w:ilvl w:val="0"/>
          <w:numId w:val="2"/>
        </w:numPr>
        <w:spacing w:after="60"/>
      </w:pPr>
      <w:r>
        <w:rPr>
          <w:rFonts w:ascii="Calibri" w:cs="Calibri" w:eastAsia="Calibri" w:hAnsi="Calibri"/>
          <w:sz w:val="19"/>
          <w:szCs w:val="19"/>
        </w:rPr>
        <w:t xml:space="preserve">Will you supply the technical content for our information-system security-level dossier? Do you hold ISO 27001 or equivalent?</w:t>
      </w:r>
    </w:p>
    <w:p>
      <w:pPr>
        <w:spacing w:after="120"/>
      </w:pPr>
      <w:r>
        <w:rPr>
          <w:rFonts w:ascii="Calibri" w:cs="Calibri" w:eastAsia="Calibri" w:hAnsi="Calibri"/>
          <w:sz w:val="20"/>
          <w:szCs w:val="20"/>
        </w:rPr>
        <w:t xml:space="preserve">Evidence to request: Security description; penetration-test summary; log specification; incident procedure; ISO 27001 certificate if held.</w:t>
      </w:r>
    </w:p>
    <w:p>
      <w:pPr>
        <w:spacing w:after="120"/>
      </w:pPr>
      <w:r>
        <w:rPr>
          <w:rFonts w:ascii="Calibri" w:cs="Calibri" w:eastAsia="Calibri" w:hAnsi="Calibri"/>
          <w:i/>
          <w:iCs/>
          <w:color w:val="555555"/>
          <w:sz w:val="18"/>
          <w:szCs w:val="18"/>
        </w:rPr>
        <w:t xml:space="preserve">References: OB_J_010 ND356 Art. 12(4); OB_K_008 ND331_2026 Art. 30(8); OB_K_013-016 ND333_2026 Arts. 16, 20; LANM Art. 25(2); OB_J_014 ND331_2026 Art. 19(2)(b); OB_F_028-031 PDPL Art. 23; ND356 Art. 29 (breach); OB_IS_E (ISO/IEC 27001, NIST SP 800-53 - adopted by choice)</w:t>
      </w:r>
    </w:p>
    <w:p>
      <w:pPr>
        <w:pStyle w:val="Heading2"/>
      </w:pPr>
      <w:r>
        <w:rPr>
          <w:rFonts w:ascii="Calibri" w:cs="Calibri" w:eastAsia="Calibri" w:hAnsi="Calibri"/>
        </w:rPr>
        <w:t xml:space="preserve">05. Clinical notes are medical records</w:t>
      </w:r>
    </w:p>
    <w:p>
      <w:pPr>
        <w:spacing w:after="120"/>
      </w:pPr>
      <w:r>
        <w:rPr>
          <w:rFonts w:ascii="Calibri" w:cs="Calibri" w:eastAsia="Calibri" w:hAnsi="Calibri"/>
          <w:sz w:val="20"/>
          <w:szCs w:val="20"/>
        </w:rPr>
        <w:t xml:space="preserve">Once the CRM holds clinical notes, those notes are part of the medical record and the clinic's record duties apply to them through the application. Every entry must carry the authenticated identity of its author and the time it was recorded; entries must be made at the time by the person who did or observed the act; no entry may be altered so as to falsify it - a correction keeps the original, author, time and reason; access is restricted to authorised persons.</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Does every note carry the authenticated author and the time it was recorded? Can it also hold when the care was given?</w:t>
      </w:r>
    </w:p>
    <w:p>
      <w:pPr>
        <w:pStyle w:val="ListParagraph"/>
        <w:numPr>
          <w:ilvl w:val="0"/>
          <w:numId w:val="2"/>
        </w:numPr>
        <w:spacing w:after="60"/>
      </w:pPr>
      <w:r>
        <w:rPr>
          <w:rFonts w:ascii="Calibri" w:cs="Calibri" w:eastAsia="Calibri" w:hAnsi="Calibri"/>
          <w:sz w:val="19"/>
          <w:szCs w:val="19"/>
        </w:rPr>
        <w:t xml:space="preserve">How are corrections handled - is the original kept with the author, time and reason for the change?</w:t>
      </w:r>
    </w:p>
    <w:p>
      <w:pPr>
        <w:pStyle w:val="ListParagraph"/>
        <w:numPr>
          <w:ilvl w:val="0"/>
          <w:numId w:val="2"/>
        </w:numPr>
        <w:spacing w:after="60"/>
      </w:pPr>
      <w:r>
        <w:rPr>
          <w:rFonts w:ascii="Calibri" w:cs="Calibri" w:eastAsia="Calibri" w:hAnsi="Calibri"/>
          <w:sz w:val="19"/>
          <w:szCs w:val="19"/>
        </w:rPr>
        <w:t xml:space="preserve">Is there a complete audit trail of who viewed, created, changed or deleted each record, and can it be altered by anyone, including your administrators?</w:t>
      </w:r>
    </w:p>
    <w:p>
      <w:pPr>
        <w:pStyle w:val="ListParagraph"/>
        <w:numPr>
          <w:ilvl w:val="0"/>
          <w:numId w:val="2"/>
        </w:numPr>
        <w:spacing w:after="60"/>
      </w:pPr>
      <w:r>
        <w:rPr>
          <w:rFonts w:ascii="Calibri" w:cs="Calibri" w:eastAsia="Calibri" w:hAnsi="Calibri"/>
          <w:sz w:val="19"/>
          <w:szCs w:val="19"/>
        </w:rPr>
        <w:t xml:space="preserve">How is access restricted by role, and how do we grant and revoke it?</w:t>
      </w:r>
    </w:p>
    <w:p>
      <w:pPr>
        <w:spacing w:after="120"/>
      </w:pPr>
      <w:r>
        <w:rPr>
          <w:rFonts w:ascii="Calibri" w:cs="Calibri" w:eastAsia="Calibri" w:hAnsi="Calibri"/>
          <w:sz w:val="20"/>
          <w:szCs w:val="20"/>
        </w:rPr>
        <w:t xml:space="preserve">Evidence to request: Demonstration on test data; audit-trail export; role and permission model.</w:t>
      </w:r>
    </w:p>
    <w:p>
      <w:pPr>
        <w:spacing w:after="120"/>
      </w:pPr>
      <w:r>
        <w:rPr>
          <w:rFonts w:ascii="Calibri" w:cs="Calibri" w:eastAsia="Calibri" w:hAnsi="Calibri"/>
          <w:i/>
          <w:iCs/>
          <w:color w:val="555555"/>
          <w:sz w:val="18"/>
          <w:szCs w:val="18"/>
        </w:rPr>
        <w:t xml:space="preserve">References: OB_A_002 LKCB Art. 69(2); OB_A_007 LKCB Art. 7(10); OB_A_009, OB_A_012-013 TT32 Art. 52(2); OB_G_001, OB_G_007 LGDDT Arts. 10, 13; OB_IS_G (21 CFR 11.10(e) audit trail - adopted by choice)</w:t>
      </w:r>
    </w:p>
    <w:p>
      <w:pPr>
        <w:pStyle w:val="Heading2"/>
      </w:pPr>
      <w:r>
        <w:rPr>
          <w:rFonts w:ascii="Calibri" w:cs="Calibri" w:eastAsia="Calibri" w:hAnsi="Calibri"/>
        </w:rPr>
        <w:t xml:space="preserve">06. Retention, archiving and deletion</w:t>
      </w:r>
    </w:p>
    <w:p>
      <w:pPr>
        <w:spacing w:after="120"/>
      </w:pPr>
      <w:r>
        <w:rPr>
          <w:rFonts w:ascii="Calibri" w:cs="Calibri" w:eastAsia="Calibri" w:hAnsi="Calibri"/>
          <w:sz w:val="20"/>
          <w:szCs w:val="20"/>
        </w:rPr>
        <w:t xml:space="preserve">Electronic records carry the same retention periods as paper: ordinary outpatient records at least 10 years, some classes 20 years, 30 years once a death is recorded, and medical-incident records never destroyed. Archived records must stay retrievable and readable, with metadata, for the whole period; destruction must be secure and unrecoverable, including from backups. Personal data held only for a completed purpose must be deleted, and deletion requests answered within set times.</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Can you keep our records for 10, 20, 30 years or permanently by record type, regardless of our contract term?</w:t>
      </w:r>
    </w:p>
    <w:p>
      <w:pPr>
        <w:pStyle w:val="ListParagraph"/>
        <w:numPr>
          <w:ilvl w:val="0"/>
          <w:numId w:val="2"/>
        </w:numPr>
        <w:spacing w:after="60"/>
      </w:pPr>
      <w:r>
        <w:rPr>
          <w:rFonts w:ascii="Calibri" w:cs="Calibri" w:eastAsia="Calibri" w:hAnsi="Calibri"/>
          <w:sz w:val="19"/>
          <w:szCs w:val="19"/>
        </w:rPr>
        <w:t xml:space="preserve">How will records remain readable over that time (formats, migrations)?</w:t>
      </w:r>
    </w:p>
    <w:p>
      <w:pPr>
        <w:pStyle w:val="ListParagraph"/>
        <w:numPr>
          <w:ilvl w:val="0"/>
          <w:numId w:val="2"/>
        </w:numPr>
        <w:spacing w:after="60"/>
      </w:pPr>
      <w:r>
        <w:rPr>
          <w:rFonts w:ascii="Calibri" w:cs="Calibri" w:eastAsia="Calibri" w:hAnsi="Calibri"/>
          <w:sz w:val="19"/>
          <w:szCs w:val="19"/>
        </w:rPr>
        <w:t xml:space="preserve">How do you delete securely, including from backups, and can you certify it?</w:t>
      </w:r>
    </w:p>
    <w:p>
      <w:pPr>
        <w:pStyle w:val="ListParagraph"/>
        <w:numPr>
          <w:ilvl w:val="0"/>
          <w:numId w:val="2"/>
        </w:numPr>
        <w:spacing w:after="60"/>
      </w:pPr>
      <w:r>
        <w:rPr>
          <w:rFonts w:ascii="Calibri" w:cs="Calibri" w:eastAsia="Calibri" w:hAnsi="Calibri"/>
          <w:sz w:val="19"/>
          <w:szCs w:val="19"/>
        </w:rPr>
        <w:t xml:space="preserve">Can you meet deletion-request timings (acknowledge in 2 working days, complete within 20-30 days) where the law allows deletion?</w:t>
      </w:r>
    </w:p>
    <w:p>
      <w:pPr>
        <w:spacing w:after="120"/>
      </w:pPr>
      <w:r>
        <w:rPr>
          <w:rFonts w:ascii="Calibri" w:cs="Calibri" w:eastAsia="Calibri" w:hAnsi="Calibri"/>
          <w:sz w:val="20"/>
          <w:szCs w:val="20"/>
        </w:rPr>
        <w:t xml:space="preserve">Evidence to request: Retention configuration; archive and migration policy; deletion procedure and certificate template.</w:t>
      </w:r>
    </w:p>
    <w:p>
      <w:pPr>
        <w:spacing w:after="120"/>
      </w:pPr>
      <w:r>
        <w:rPr>
          <w:rFonts w:ascii="Calibri" w:cs="Calibri" w:eastAsia="Calibri" w:hAnsi="Calibri"/>
          <w:i/>
          <w:iCs/>
          <w:color w:val="555555"/>
          <w:sz w:val="18"/>
          <w:szCs w:val="18"/>
        </w:rPr>
        <w:t xml:space="preserve">References: OB_A_014-020 TT33_2025; OB_A_021-026 LLT Arts. 16, 33, 36 (CONDITIONAL); OB_F_013-019 PDPL Art. 14; ND356 Art. 5(4); OB_G_005-006 LGDDT Art. 13</w:t>
      </w:r>
    </w:p>
    <w:p>
      <w:pPr>
        <w:pStyle w:val="Heading2"/>
      </w:pPr>
      <w:r>
        <w:rPr>
          <w:rFonts w:ascii="Calibri" w:cs="Calibri" w:eastAsia="Calibri" w:hAnsi="Calibri"/>
        </w:rPr>
        <w:t xml:space="preserve">07. Consent and patients' rights</w:t>
      </w:r>
    </w:p>
    <w:p>
      <w:pPr>
        <w:spacing w:after="120"/>
      </w:pPr>
      <w:r>
        <w:rPr>
          <w:rFonts w:ascii="Calibri" w:cs="Calibri" w:eastAsia="Calibri" w:hAnsi="Calibri"/>
          <w:sz w:val="20"/>
          <w:szCs w:val="20"/>
        </w:rPr>
        <w:t xml:space="preserve">Health data may be processed only with recorded consent, given separately for each purpose, never assumed from silence, printable, and kept as long as processing continues. Withdrawal must be possible and logged. Patients may request access to, a copy of and a summary of their record.</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Can the application record consent per purpose, with the form of consent, and produce it in printable form?</w:t>
      </w:r>
    </w:p>
    <w:p>
      <w:pPr>
        <w:pStyle w:val="ListParagraph"/>
        <w:numPr>
          <w:ilvl w:val="0"/>
          <w:numId w:val="2"/>
        </w:numPr>
        <w:spacing w:after="60"/>
      </w:pPr>
      <w:r>
        <w:rPr>
          <w:rFonts w:ascii="Calibri" w:cs="Calibri" w:eastAsia="Calibri" w:hAnsi="Calibri"/>
          <w:sz w:val="19"/>
          <w:szCs w:val="19"/>
        </w:rPr>
        <w:t xml:space="preserve">Can it record withdrawal and stop the related processing from that time?</w:t>
      </w:r>
    </w:p>
    <w:p>
      <w:pPr>
        <w:pStyle w:val="ListParagraph"/>
        <w:numPr>
          <w:ilvl w:val="0"/>
          <w:numId w:val="2"/>
        </w:numPr>
        <w:spacing w:after="60"/>
      </w:pPr>
      <w:r>
        <w:rPr>
          <w:rFonts w:ascii="Calibri" w:cs="Calibri" w:eastAsia="Calibri" w:hAnsi="Calibri"/>
          <w:sz w:val="19"/>
          <w:szCs w:val="19"/>
        </w:rPr>
        <w:t xml:space="preserve">Can it produce a patient's record, a copy and a summary on request?</w:t>
      </w:r>
    </w:p>
    <w:p>
      <w:pPr>
        <w:spacing w:after="120"/>
      </w:pPr>
      <w:r>
        <w:rPr>
          <w:rFonts w:ascii="Calibri" w:cs="Calibri" w:eastAsia="Calibri" w:hAnsi="Calibri"/>
          <w:sz w:val="20"/>
          <w:szCs w:val="20"/>
        </w:rPr>
        <w:t xml:space="preserve">Evidence to request: Demonstration of consent capture, withdrawal and record export.</w:t>
      </w:r>
    </w:p>
    <w:p>
      <w:pPr>
        <w:spacing w:after="120"/>
      </w:pPr>
      <w:r>
        <w:rPr>
          <w:rFonts w:ascii="Calibri" w:cs="Calibri" w:eastAsia="Calibri" w:hAnsi="Calibri"/>
          <w:i/>
          <w:iCs/>
          <w:color w:val="555555"/>
          <w:sz w:val="18"/>
          <w:szCs w:val="18"/>
        </w:rPr>
        <w:t xml:space="preserve">References: OB_F_001-012 PDPL Arts. 9, 10, 26; ND356 Art. 6; OB_A_004 LKCB Art. 69(3)-(4); OB_F_035 PDPL Art. 26(2)</w:t>
      </w:r>
    </w:p>
    <w:p>
      <w:pPr>
        <w:pStyle w:val="Heading2"/>
      </w:pPr>
      <w:r>
        <w:rPr>
          <w:rFonts w:ascii="Calibri" w:cs="Calibri" w:eastAsia="Calibri" w:hAnsi="Calibri"/>
        </w:rPr>
        <w:t xml:space="preserve">08. Signatures</w:t>
      </w:r>
    </w:p>
    <w:p>
      <w:pPr>
        <w:spacing w:after="120"/>
      </w:pPr>
      <w:r>
        <w:rPr>
          <w:rFonts w:ascii="Calibri" w:cs="Calibri" w:eastAsia="Calibri" w:hAnsi="Calibri"/>
          <w:sz w:val="20"/>
          <w:szCs w:val="20"/>
        </w:rPr>
        <w:t xml:space="preserve">If entries need a signature equivalent to a handwritten one, a digital signature (or certified specialised signature) is required; any change to signed content must invalidate the signature; the certificate status must be checked and recorded at signing; integrated signing components must conform to Decree 23/2025 by 10 April 2027.</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Do you support digital signatures from licensed Vietnamese providers, with certificate-status checks recorded?</w:t>
      </w:r>
    </w:p>
    <w:p>
      <w:pPr>
        <w:pStyle w:val="ListParagraph"/>
        <w:numPr>
          <w:ilvl w:val="0"/>
          <w:numId w:val="2"/>
        </w:numPr>
        <w:spacing w:after="60"/>
      </w:pPr>
      <w:r>
        <w:rPr>
          <w:rFonts w:ascii="Calibri" w:cs="Calibri" w:eastAsia="Calibri" w:hAnsi="Calibri"/>
          <w:sz w:val="19"/>
          <w:szCs w:val="19"/>
        </w:rPr>
        <w:t xml:space="preserve">Does a change to signed content invalidate the signature visibly?</w:t>
      </w:r>
    </w:p>
    <w:p>
      <w:pPr>
        <w:pStyle w:val="ListParagraph"/>
        <w:numPr>
          <w:ilvl w:val="0"/>
          <w:numId w:val="2"/>
        </w:numPr>
        <w:spacing w:after="60"/>
      </w:pPr>
      <w:r>
        <w:rPr>
          <w:rFonts w:ascii="Calibri" w:cs="Calibri" w:eastAsia="Calibri" w:hAnsi="Calibri"/>
          <w:sz w:val="19"/>
          <w:szCs w:val="19"/>
        </w:rPr>
        <w:t xml:space="preserve">Will your signing component conform to Decree 23/2025 by April 2027?</w:t>
      </w:r>
    </w:p>
    <w:p>
      <w:pPr>
        <w:spacing w:after="120"/>
      </w:pPr>
      <w:r>
        <w:rPr>
          <w:rFonts w:ascii="Calibri" w:cs="Calibri" w:eastAsia="Calibri" w:hAnsi="Calibri"/>
          <w:sz w:val="20"/>
          <w:szCs w:val="20"/>
        </w:rPr>
        <w:t xml:space="preserve">Evidence to request: Signing design; sample signed record verified by a third-party tool.</w:t>
      </w:r>
    </w:p>
    <w:p>
      <w:pPr>
        <w:spacing w:after="120"/>
      </w:pPr>
      <w:r>
        <w:rPr>
          <w:rFonts w:ascii="Calibri" w:cs="Calibri" w:eastAsia="Calibri" w:hAnsi="Calibri"/>
          <w:i/>
          <w:iCs/>
          <w:color w:val="555555"/>
          <w:sz w:val="18"/>
          <w:szCs w:val="18"/>
        </w:rPr>
        <w:t xml:space="preserve">References: OB_B_009 TT13_2025 Art. 3; OB_G_008-019 LGDDT Arts. 22-25; ND23_2025 Arts. 16, 17, 47</w:t>
      </w:r>
    </w:p>
    <w:p>
      <w:pPr>
        <w:pStyle w:val="Heading2"/>
      </w:pPr>
      <w:r>
        <w:rPr>
          <w:rFonts w:ascii="Calibri" w:cs="Calibri" w:eastAsia="Calibri" w:hAnsi="Calibri"/>
        </w:rPr>
        <w:t xml:space="preserve">09. Electronic medical record rules and national connections</w:t>
      </w:r>
    </w:p>
    <w:p>
      <w:pPr>
        <w:spacing w:after="120"/>
      </w:pPr>
      <w:r>
        <w:rPr>
          <w:rFonts w:ascii="Calibri" w:cs="Calibri" w:eastAsia="Calibri" w:hAnsi="Calibri"/>
          <w:sz w:val="20"/>
          <w:szCs w:val="20"/>
        </w:rPr>
        <w:t xml:space="preserve">Where the clinic runs an electronic medical record, it must back up to separate storage and be restorable, link each record to the patient's personal identification number, conform to state IT technical standards, and connect with national health databases and the VNeID health book; health-insurance exports must follow the current XML tables.</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How are backups made, where are they kept, and how often is restoration tested?</w:t>
      </w:r>
    </w:p>
    <w:p>
      <w:pPr>
        <w:pStyle w:val="ListParagraph"/>
        <w:numPr>
          <w:ilvl w:val="0"/>
          <w:numId w:val="2"/>
        </w:numPr>
        <w:spacing w:after="60"/>
      </w:pPr>
      <w:r>
        <w:rPr>
          <w:rFonts w:ascii="Calibri" w:cs="Calibri" w:eastAsia="Calibri" w:hAnsi="Calibri"/>
          <w:sz w:val="19"/>
          <w:szCs w:val="19"/>
        </w:rPr>
        <w:t xml:space="preserve">Does the application use the personal identification number as the health identifier?</w:t>
      </w:r>
    </w:p>
    <w:p>
      <w:pPr>
        <w:pStyle w:val="ListParagraph"/>
        <w:numPr>
          <w:ilvl w:val="0"/>
          <w:numId w:val="2"/>
        </w:numPr>
        <w:spacing w:after="60"/>
      </w:pPr>
      <w:r>
        <w:rPr>
          <w:rFonts w:ascii="Calibri" w:cs="Calibri" w:eastAsia="Calibri" w:hAnsi="Calibri"/>
          <w:sz w:val="19"/>
          <w:szCs w:val="19"/>
        </w:rPr>
        <w:t xml:space="preserve">Can it connect to the national health databases and VNeID, and produce the health-insurance (QD 130) exports if we need them?</w:t>
      </w:r>
    </w:p>
    <w:p>
      <w:pPr>
        <w:spacing w:after="120"/>
      </w:pPr>
      <w:r>
        <w:rPr>
          <w:rFonts w:ascii="Calibri" w:cs="Calibri" w:eastAsia="Calibri" w:hAnsi="Calibri"/>
          <w:sz w:val="20"/>
          <w:szCs w:val="20"/>
        </w:rPr>
        <w:t xml:space="preserve">Evidence to request: Backup and restore test reports; interface list; sample exports.</w:t>
      </w:r>
    </w:p>
    <w:p>
      <w:pPr>
        <w:spacing w:after="120"/>
      </w:pPr>
      <w:r>
        <w:rPr>
          <w:rFonts w:ascii="Calibri" w:cs="Calibri" w:eastAsia="Calibri" w:hAnsi="Calibri"/>
          <w:i/>
          <w:iCs/>
          <w:color w:val="555555"/>
          <w:sz w:val="18"/>
          <w:szCs w:val="18"/>
        </w:rPr>
        <w:t xml:space="preserve">References: OB_B_003-008 TT13_2025 Arts. 1-2 (CONDITIONAL); OB_H_004-008 ND102_2025 Arts. 6, 10, 23; OB_H_001-003 QD130 (if insured services)</w:t>
      </w:r>
    </w:p>
    <w:p>
      <w:pPr>
        <w:pStyle w:val="Heading2"/>
      </w:pPr>
      <w:r>
        <w:rPr>
          <w:rFonts w:ascii="Calibri" w:cs="Calibri" w:eastAsia="Calibri" w:hAnsi="Calibri"/>
        </w:rPr>
        <w:t xml:space="preserve">10. Changes, versions and the supplier's own checks</w:t>
      </w:r>
    </w:p>
    <w:p>
      <w:pPr>
        <w:spacing w:after="120"/>
      </w:pPr>
      <w:r>
        <w:rPr>
          <w:rFonts w:ascii="Calibri" w:cs="Calibri" w:eastAsia="Calibri" w:hAnsi="Calibri"/>
          <w:sz w:val="20"/>
          <w:szCs w:val="20"/>
        </w:rPr>
        <w:t xml:space="preserve">A major change requires the security risk assessment to be repeated, and a change in processing requires the clinic's impact assessment to be updated within 6 months. The clinics' gate needs to know about supplier changes before they happen.</w:t>
      </w:r>
    </w:p>
    <w:p>
      <w:pPr>
        <w:spacing w:after="120"/>
      </w:pPr>
      <w:r>
        <w:rPr>
          <w:rFonts w:ascii="Calibri" w:cs="Calibri" w:eastAsia="Calibri" w:hAnsi="Calibri"/>
          <w:b/>
          <w:bCs/>
          <w:sz w:val="20"/>
          <w:szCs w:val="20"/>
        </w:rPr>
        <w:t xml:space="preserve">Ask the supplier:</w:t>
      </w:r>
    </w:p>
    <w:p>
      <w:pPr>
        <w:pStyle w:val="ListParagraph"/>
        <w:numPr>
          <w:ilvl w:val="0"/>
          <w:numId w:val="2"/>
        </w:numPr>
        <w:spacing w:after="60"/>
      </w:pPr>
      <w:r>
        <w:rPr>
          <w:rFonts w:ascii="Calibri" w:cs="Calibri" w:eastAsia="Calibri" w:hAnsi="Calibri"/>
          <w:sz w:val="19"/>
          <w:szCs w:val="19"/>
        </w:rPr>
        <w:t xml:space="preserve">How much notice do you give of new versions and changes to hosting, sub-processors or features?</w:t>
      </w:r>
    </w:p>
    <w:p>
      <w:pPr>
        <w:pStyle w:val="ListParagraph"/>
        <w:numPr>
          <w:ilvl w:val="0"/>
          <w:numId w:val="2"/>
        </w:numPr>
        <w:spacing w:after="60"/>
      </w:pPr>
      <w:r>
        <w:rPr>
          <w:rFonts w:ascii="Calibri" w:cs="Calibri" w:eastAsia="Calibri" w:hAnsi="Calibri"/>
          <w:sz w:val="19"/>
          <w:szCs w:val="19"/>
        </w:rPr>
        <w:t xml:space="preserve">Do you provide release notes that say what changed in data handling or security?</w:t>
      </w:r>
    </w:p>
    <w:p>
      <w:pPr>
        <w:pStyle w:val="ListParagraph"/>
        <w:numPr>
          <w:ilvl w:val="0"/>
          <w:numId w:val="2"/>
        </w:numPr>
        <w:spacing w:after="60"/>
      </w:pPr>
      <w:r>
        <w:rPr>
          <w:rFonts w:ascii="Calibri" w:cs="Calibri" w:eastAsia="Calibri" w:hAnsi="Calibri"/>
          <w:sz w:val="19"/>
          <w:szCs w:val="19"/>
        </w:rPr>
        <w:t xml:space="preserve">Will you write compliance statements, with evidence, for the obligations that fall on you, for our verifier to check?</w:t>
      </w:r>
    </w:p>
    <w:p>
      <w:pPr>
        <w:spacing w:after="120"/>
      </w:pPr>
      <w:r>
        <w:rPr>
          <w:rFonts w:ascii="Calibri" w:cs="Calibri" w:eastAsia="Calibri" w:hAnsi="Calibri"/>
          <w:sz w:val="20"/>
          <w:szCs w:val="20"/>
        </w:rPr>
        <w:t xml:space="preserve">Evidence to request: Change-notification clause; sample release notes; completed compliance statements.</w:t>
      </w:r>
    </w:p>
    <w:p>
      <w:pPr>
        <w:spacing w:after="120"/>
      </w:pPr>
      <w:r>
        <w:rPr>
          <w:rFonts w:ascii="Calibri" w:cs="Calibri" w:eastAsia="Calibri" w:hAnsi="Calibri"/>
          <w:i/>
          <w:iCs/>
          <w:color w:val="555555"/>
          <w:sz w:val="18"/>
          <w:szCs w:val="18"/>
        </w:rPr>
        <w:t xml:space="preserve">References: OB_K_002 ND331_2026 Art. 10(2); OB_F_025 PDPL Art. 22(1); Custodian direction 2026-10-11 15:32 (compliance statements)</w:t>
      </w:r>
    </w:p>
    <w:p>
      <w:pPr>
        <w:pStyle w:val="Heading1"/>
      </w:pPr>
      <w:r>
        <w:rPr>
          <w:rFonts w:ascii="Calibri" w:cs="Calibri" w:eastAsia="Calibri" w:hAnsi="Calibri"/>
        </w:rPr>
        <w:t xml:space="preserve">What stays with the clinic</w:t>
      </w:r>
    </w:p>
    <w:p>
      <w:pPr>
        <w:pStyle w:val="ListParagraph"/>
        <w:numPr>
          <w:ilvl w:val="0"/>
          <w:numId w:val="2"/>
        </w:numPr>
        <w:spacing w:after="60"/>
      </w:pPr>
      <w:r>
        <w:rPr>
          <w:rFonts w:ascii="Calibri" w:cs="Calibri" w:eastAsia="Calibri" w:hAnsi="Calibri"/>
          <w:sz w:val="19"/>
          <w:szCs w:val="19"/>
        </w:rPr>
        <w:t xml:space="preserve">Name a qualified data-protection officer by written decision (OB_F_032-034 PDPL Art. 33(2); ND356 Art. 13).</w:t>
      </w:r>
    </w:p>
    <w:p>
      <w:pPr>
        <w:pStyle w:val="ListParagraph"/>
        <w:numPr>
          <w:ilvl w:val="0"/>
          <w:numId w:val="2"/>
        </w:numPr>
        <w:spacing w:after="60"/>
      </w:pPr>
      <w:r>
        <w:rPr>
          <w:rFonts w:ascii="Calibri" w:cs="Calibri" w:eastAsia="Calibri" w:hAnsi="Calibri"/>
          <w:sz w:val="19"/>
          <w:szCs w:val="19"/>
        </w:rPr>
        <w:t xml:space="preserve">Prepare its own processing impact assessment and file it within 60 days of first processing (OB_F_023-024 PDPL Art. 21).</w:t>
      </w:r>
    </w:p>
    <w:p>
      <w:pPr>
        <w:pStyle w:val="ListParagraph"/>
        <w:numPr>
          <w:ilvl w:val="0"/>
          <w:numId w:val="2"/>
        </w:numPr>
        <w:spacing w:after="60"/>
      </w:pPr>
      <w:r>
        <w:rPr>
          <w:rFonts w:ascii="Calibri" w:cs="Calibri" w:eastAsia="Calibri" w:hAnsi="Calibri"/>
          <w:sz w:val="19"/>
          <w:szCs w:val="19"/>
        </w:rPr>
        <w:t xml:space="preserve">Issue an internal regulation for the electronic medical record (OB_B_012 TT13_2025 Art. 6(3)(b), CONDITIONAL).</w:t>
      </w:r>
    </w:p>
    <w:p>
      <w:pPr>
        <w:pStyle w:val="ListParagraph"/>
        <w:numPr>
          <w:ilvl w:val="0"/>
          <w:numId w:val="2"/>
        </w:numPr>
        <w:spacing w:after="60"/>
      </w:pPr>
      <w:r>
        <w:rPr>
          <w:rFonts w:ascii="Calibri" w:cs="Calibri" w:eastAsia="Calibri" w:hAnsi="Calibri"/>
          <w:sz w:val="19"/>
          <w:szCs w:val="19"/>
        </w:rPr>
        <w:t xml:space="preserve">Write notice to staff where their data or voices are processed (OB_F_020-021 PDPL Art. 25).</w:t>
      </w:r>
    </w:p>
    <w:p>
      <w:pPr>
        <w:pStyle w:val="ListParagraph"/>
        <w:numPr>
          <w:ilvl w:val="0"/>
          <w:numId w:val="2"/>
        </w:numPr>
        <w:spacing w:after="60"/>
      </w:pPr>
      <w:r>
        <w:rPr>
          <w:rFonts w:ascii="Calibri" w:cs="Calibri" w:eastAsia="Calibri" w:hAnsi="Calibri"/>
          <w:sz w:val="19"/>
          <w:szCs w:val="19"/>
        </w:rPr>
        <w:t xml:space="preserve">Verify the supplier's compliance statements before adoption and at each significant change - builder is never reviewer.</w:t>
      </w:r>
    </w:p>
    <w:p>
      <w:pPr>
        <w:pStyle w:val="Heading1"/>
      </w:pPr>
      <w:r>
        <w:rPr>
          <w:rFonts w:ascii="Calibri" w:cs="Calibri" w:eastAsia="Calibri" w:hAnsi="Calibri"/>
        </w:rPr>
        <w:t xml:space="preserve">Notes</w:t>
      </w:r>
    </w:p>
    <w:p>
      <w:pPr>
        <w:pStyle w:val="ListParagraph"/>
        <w:numPr>
          <w:ilvl w:val="0"/>
          <w:numId w:val="2"/>
        </w:numPr>
        <w:spacing w:after="60"/>
      </w:pPr>
      <w:r>
        <w:rPr>
          <w:rFonts w:ascii="Calibri" w:cs="Calibri" w:eastAsia="Calibri" w:hAnsi="Calibri"/>
          <w:sz w:val="19"/>
          <w:szCs w:val="19"/>
        </w:rPr>
        <w:t xml:space="preserve">If the supplier hosts outside Vietnam, or the CRM later gains clinical decision-support features, this list grows: the cross-border dossiers, and the medical-device rules of Decree 98/2021.</w:t>
      </w:r>
    </w:p>
    <w:p>
      <w:pPr>
        <w:pStyle w:val="ListParagraph"/>
        <w:numPr>
          <w:ilvl w:val="0"/>
          <w:numId w:val="2"/>
        </w:numPr>
        <w:spacing w:after="60"/>
      </w:pPr>
      <w:r>
        <w:rPr>
          <w:rFonts w:ascii="Calibri" w:cs="Calibri" w:eastAsia="Calibri" w:hAnsi="Calibri"/>
          <w:sz w:val="19"/>
          <w:szCs w:val="19"/>
        </w:rPr>
        <w:t xml:space="preserve">International standards (ISO/IEC 27001, 21 CFR Part 11 audit-trail practice) are referenced as good practice adopted by choice; they are not Vietnamese law.</w:t>
      </w:r>
    </w:p>
    <w:p>
      <w:pPr>
        <w:pStyle w:val="Heading1"/>
      </w:pPr>
      <w:r>
        <w:rPr>
          <w:rFonts w:ascii="Calibri" w:cs="Calibri" w:eastAsia="Calibri" w:hAnsi="Calibri"/>
        </w:rPr>
        <w:t xml:space="preserve">Instruments cited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B7B7B7" w:sz="4"/>
              <w:left w:val="single" w:color="B7B7B7" w:sz="4"/>
              <w:bottom w:val="single" w:color="B7B7B7" w:sz="4"/>
              <w:right w:val="single" w:color="B7B7B7" w:sz="4"/>
            </w:tcBorders>
            <w:shd w:fill="DCE6F1" w:color="auto" w:val="clear"/>
            <w:tcMar>
              <w:top w:type="dxa" w:w="40"/>
              <w:left w:type="dxa" w:w="80"/>
              <w:bottom w:type="dxa" w:w="40"/>
              <w:right w:type="dxa" w:w="80"/>
            </w:tcMar>
          </w:tcPr>
          <w:p>
            <w:r>
              <w:rPr>
                <w:rFonts w:ascii="Calibri" w:cs="Calibri" w:eastAsia="Calibri" w:hAnsi="Calibri"/>
                <w:b/>
                <w:bCs/>
                <w:sz w:val="17"/>
                <w:szCs w:val="17"/>
              </w:rPr>
              <w:t xml:space="preserve">Key</w:t>
            </w:r>
          </w:p>
        </w:tc>
        <w:tc>
          <w:tcPr>
            <w:tcW w:type="dxa" w:w="7200"/>
            <w:tcBorders>
              <w:top w:val="single" w:color="B7B7B7" w:sz="4"/>
              <w:left w:val="single" w:color="B7B7B7" w:sz="4"/>
              <w:bottom w:val="single" w:color="B7B7B7" w:sz="4"/>
              <w:right w:val="single" w:color="B7B7B7" w:sz="4"/>
            </w:tcBorders>
            <w:shd w:fill="DCE6F1" w:color="auto" w:val="clear"/>
            <w:tcMar>
              <w:top w:type="dxa" w:w="40"/>
              <w:left w:type="dxa" w:w="80"/>
              <w:bottom w:type="dxa" w:w="40"/>
              <w:right w:type="dxa" w:w="80"/>
            </w:tcMar>
          </w:tcPr>
          <w:p>
            <w:r>
              <w:rPr>
                <w:rFonts w:ascii="Calibri" w:cs="Calibri" w:eastAsia="Calibri" w:hAnsi="Calibri"/>
                <w:b/>
                <w:bCs/>
                <w:sz w:val="17"/>
                <w:szCs w:val="17"/>
              </w:rPr>
              <w:t xml:space="preserve">Instrument</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LKCB</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Law 15/2023/QH15 on Medical Examination and Treatment (eff. 2024-01-01)</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TT32</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Circular 32/2023/TT-BYT (medical records, Chapter X)</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TT33_2025</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Circular 33/2025/TT-BYT on retention periods for health-sector records (eff. 2025-07-01)</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LLT</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Law 33/2024/QH15 on Archives (eff. 2025-07-01)</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TT13_2025</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Circular 13/2025/TT-BYT on electronic medical records (eff. 2025-07-21)</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PDPL</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Law 91/2025/QH15 on Personal Data Protection (eff. 2026-01-01)</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ND356</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Decree 356/2025/ND-CP implementing the PDPL (eff. 2026-01-01)</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LGDDT</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Law 20/2023/QH15 on Electronic Transactions (eff. 2024-07-01)</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ND23_2025</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Decree 23/2025/ND-CP on electronic signatures and trust services (eff. 2025-04-10)</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ND102_2025</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Decree 102/2025/ND-CP on health data management</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QD130</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Decision 130/QD-BYT on the health-insurance output data standard (as amended)</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LANM</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Law 116/2025/QH15 on Cybersecurity (eff. 2026-07-01)</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ND331_2026</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Decree 331/2026/ND-CP on information-system security levels</w:t>
            </w:r>
          </w:p>
        </w:tc>
      </w:tr>
      <w:tr>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ND333_2026</w:t>
            </w:r>
          </w:p>
        </w:tc>
        <w:tc>
          <w:tcPr>
            <w:tcW w:type="dxa" w:w="7200"/>
            <w:tcBorders>
              <w:top w:val="single" w:color="B7B7B7" w:sz="4"/>
              <w:left w:val="single" w:color="B7B7B7" w:sz="4"/>
              <w:bottom w:val="single" w:color="B7B7B7" w:sz="4"/>
              <w:right w:val="single" w:color="B7B7B7" w:sz="4"/>
            </w:tcBorders>
            <w:tcMar>
              <w:top w:type="dxa" w:w="40"/>
              <w:left w:type="dxa" w:w="80"/>
              <w:bottom w:type="dxa" w:w="40"/>
              <w:right w:type="dxa" w:w="80"/>
            </w:tcMar>
          </w:tcPr>
          <w:p>
            <w:r>
              <w:rPr>
                <w:rFonts w:ascii="Calibri" w:cs="Calibri" w:eastAsia="Calibri" w:hAnsi="Calibri"/>
                <w:b w:val="false"/>
                <w:bCs w:val="false"/>
                <w:sz w:val="17"/>
                <w:szCs w:val="17"/>
              </w:rPr>
              <w:t xml:space="preserve">Decree 333/2026/ND-CP implementing the Cybersecurity Law (localisation, logs, incidents)</w:t>
            </w:r>
          </w:p>
        </w:tc>
      </w:tr>
    </w:tbl>
    <w:p>
      <w:pPr>
        <w:spacing w:after="120"/>
      </w:pPr>
    </w:p>
    <w:p>
      <w:pPr>
        <w:pStyle w:val="Heading1"/>
      </w:pPr>
      <w:r>
        <w:rPr>
          <w:rFonts w:ascii="Calibri" w:cs="Calibri" w:eastAsia="Calibri" w:hAnsi="Calibri"/>
        </w:rPr>
        <w:t xml:space="preserve">Sources and caveat</w:t>
      </w:r>
    </w:p>
    <w:p>
      <w:pPr>
        <w:pStyle w:val="ListParagraph"/>
        <w:numPr>
          <w:ilvl w:val="0"/>
          <w:numId w:val="2"/>
        </w:numPr>
        <w:spacing w:after="60"/>
      </w:pPr>
      <w:r>
        <w:rPr>
          <w:rFonts w:ascii="Calibri" w:cs="Calibri" w:eastAsia="Calibri" w:hAnsi="Calibri"/>
          <w:sz w:val="19"/>
          <w:szCs w:val="19"/>
        </w:rPr>
        <w:t xml:space="preserve">Vietnam_Legal_References\REFERENCE_Vietnam_EMR_CDS_Legal_Framework_v20261011_V01.00 (session 012, DRAFT) - the OB_&lt;area&gt;_&lt;nnn&gt; references below</w:t>
      </w:r>
    </w:p>
    <w:p>
      <w:pPr>
        <w:pStyle w:val="ListParagraph"/>
        <w:numPr>
          <w:ilvl w:val="0"/>
          <w:numId w:val="2"/>
        </w:numPr>
        <w:spacing w:after="60"/>
      </w:pPr>
      <w:r>
        <w:rPr>
          <w:rFonts w:ascii="Calibri" w:cs="Calibri" w:eastAsia="Calibri" w:hAnsi="Calibri"/>
          <w:sz w:val="19"/>
          <w:szCs w:val="19"/>
        </w:rPr>
        <w:t xml:space="preserve">International_Standards_References\REFERENCE_International_Standards_US_Requirements_v20261011_V01.00 (session 014, DRAFT) - the OB_IS_ references, adopted by choice</w:t>
      </w:r>
    </w:p>
    <w:p>
      <w:pPr>
        <w:spacing w:after="120"/>
      </w:pPr>
      <w:r>
        <w:rPr>
          <w:rFonts w:ascii="Calibri" w:cs="Calibri" w:eastAsia="Calibri" w:hAnsi="Calibri"/>
          <w:i/>
          <w:iCs/>
          <w:color w:val="555555"/>
          <w:sz w:val="18"/>
          <w:szCs w:val="18"/>
        </w:rPr>
        <w:t xml:space="preserve">Both sources are DRAFT research by an AI agent, each checked once independently, and neither is legal advice. Rows marked MEDIUM in the Vietnam reference (notably whether a hosted CRM is a 'personal-data processing service' under Decree 356 Art. 21) need confirmation by Vietnamese counsel before they are made contract conditions.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SUMMARY_Third_Party_CRM_Supplier_Requirements_v20261011_V01.00 - DRAFT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A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SUMMARY_Third_Party_CRM_Supplier_Requirements_v20261011_V01.00</dc:title>
  <dc:creator>Session 20261011_Nurse_EMR_014</dc:creator>
  <cp:lastModifiedBy>Un-named</cp:lastModifiedBy>
  <cp:revision>1</cp:revision>
  <dcterms:created xsi:type="dcterms:W3CDTF">2026-10-11T13:17:53.517Z</dcterms:created>
  <dcterms:modified xsi:type="dcterms:W3CDTF">2026-10-11T13:17:53.526Z</dcterms:modified>
</cp:coreProperties>
</file>

<file path=docProps/custom.xml><?xml version="1.0" encoding="utf-8"?>
<Properties xmlns="http://schemas.openxmlformats.org/officeDocument/2006/custom-properties" xmlns:vt="http://schemas.openxmlformats.org/officeDocument/2006/docPropsVTypes"/>
</file>