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rFonts w:ascii="Aptos" w:hAnsi="Aptos"/>
          <w:b/>
          <w:color w:val="0E8A7B"/>
          <w:sz w:val="20"/>
        </w:rPr>
        <w:t>HEALTH19 PRODUCT STUDY</w:t>
      </w:r>
    </w:p>
    <w:p>
      <w:pPr>
        <w:pStyle w:val="Title"/>
      </w:pPr>
      <w:r>
        <w:rPr>
          <w:b/>
        </w:rPr>
        <w:t>Care Command Center</w:t>
      </w:r>
    </w:p>
    <w:p>
      <w:pPr>
        <w:pStyle w:val="Subtitle"/>
      </w:pPr>
      <w:r>
        <w:t>Current evidence review of omnichannel CRM, contact-centre and healthcare communication systems — with a differentiated UX and full Odoo 19 implementation prompt</w:t>
      </w:r>
    </w:p>
    <w:p>
      <w:pPr>
        <w:pStyle w:val="Recommendation"/>
        <w:keepLines/>
      </w:pPr>
      <w:r>
        <w:rPr>
          <w:rFonts w:ascii="Aptos" w:hAnsi="Aptos"/>
          <w:b/>
          <w:color w:val="0B2545"/>
          <w:sz w:val="20"/>
        </w:rPr>
        <w:t xml:space="preserve">DECISION  </w:t>
      </w:r>
      <w:r>
        <w:rPr>
          <w:rFonts w:ascii="Aptos" w:hAnsi="Aptos"/>
          <w:b w:val="0"/>
          <w:color w:val="17212B"/>
          <w:sz w:val="20"/>
        </w:rPr>
        <w:t>Build a native, healthcare-first agent workspace inside Health19. Treat VoIP24h and Zalo OA/ZCC as first-class channels, preserve the existing CRM and booking workflows, and add a canonical interaction layer, relationship-aware identity resolution, safety-governed AI and supervisor operations.</w:t>
      </w:r>
    </w:p>
    <w:tbl>
      <w:tblPr>
        <w:tblW w:type="dxa" w:w="936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2088"/>
        <w:gridCol w:w="7272"/>
      </w:tblGrid>
      <w:tr>
        <w:trPr>
          <w:tblHeader w:val="true"/>
          <w:cantSplit/>
        </w:trPr>
        <w:tc>
          <w:tcPr>
            <w:tcW w:type="dxa" w:w="2088"/>
            <w:shd w:fill="0E8A7B"/>
            <w:vAlign w:val="center"/>
            <w:tcMar>
              <w:top w:w="90" w:type="dxa"/>
              <w:start w:w="120" w:type="dxa"/>
              <w:bottom w:w="90" w:type="dxa"/>
              <w:end w:w="120" w:type="dxa"/>
            </w:tcMar>
          </w:tcPr>
          <w:p>
            <w:pPr>
              <w:spacing w:after="0"/>
              <w:jc w:val="left"/>
            </w:pPr>
            <w:r>
              <w:rPr>
                <w:rFonts w:ascii="Aptos" w:hAnsi="Aptos"/>
                <w:b/>
                <w:color w:val="FFFFFF"/>
                <w:sz w:val="18"/>
              </w:rPr>
              <w:t>Field</w:t>
            </w:r>
          </w:p>
        </w:tc>
        <w:tc>
          <w:tcPr>
            <w:tcW w:type="dxa" w:w="7272"/>
            <w:shd w:fill="0E8A7B"/>
            <w:vAlign w:val="center"/>
            <w:tcMar>
              <w:top w:w="90" w:type="dxa"/>
              <w:start w:w="120" w:type="dxa"/>
              <w:bottom w:w="90" w:type="dxa"/>
              <w:end w:w="120" w:type="dxa"/>
            </w:tcMar>
          </w:tcPr>
          <w:p>
            <w:pPr>
              <w:spacing w:after="0"/>
              <w:jc w:val="left"/>
            </w:pPr>
            <w:r>
              <w:rPr>
                <w:rFonts w:ascii="Aptos" w:hAnsi="Aptos"/>
                <w:b/>
                <w:color w:val="FFFFFF"/>
                <w:sz w:val="18"/>
              </w:rPr>
              <w:t>Detail</w:t>
            </w:r>
          </w:p>
        </w:tc>
      </w:tr>
      <w:tr>
        <w:trPr>
          <w:cantSplit/>
        </w:trPr>
        <w:tc>
          <w:tcPr>
            <w:tcW w:type="dxa" w:w="2088"/>
            <w:vAlign w:val="center"/>
            <w:tcMar>
              <w:top w:w="90" w:type="dxa"/>
              <w:start w:w="120" w:type="dxa"/>
              <w:bottom w:w="90" w:type="dxa"/>
              <w:end w:w="120" w:type="dxa"/>
            </w:tcMar>
          </w:tcPr>
          <w:p>
            <w:pPr>
              <w:spacing w:after="0" w:line="245" w:lineRule="auto"/>
            </w:pPr>
            <w:r>
              <w:rPr>
                <w:rFonts w:ascii="Aptos" w:hAnsi="Aptos"/>
                <w:b/>
                <w:color w:val="17212B"/>
                <w:sz w:val="18"/>
              </w:rPr>
              <w:t>Prepared for</w:t>
            </w:r>
          </w:p>
        </w:tc>
        <w:tc>
          <w:tcPr>
            <w:tcW w:type="dxa" w:w="7272"/>
            <w:vAlign w:val="center"/>
            <w:tcMar>
              <w:top w:w="90" w:type="dxa"/>
              <w:start w:w="120" w:type="dxa"/>
              <w:bottom w:w="90" w:type="dxa"/>
              <w:end w:w="120" w:type="dxa"/>
            </w:tcMar>
          </w:tcPr>
          <w:p>
            <w:pPr>
              <w:spacing w:after="0" w:line="245" w:lineRule="auto"/>
            </w:pPr>
            <w:r>
              <w:rPr>
                <w:rFonts w:ascii="Aptos" w:hAnsi="Aptos"/>
                <w:b w:val="0"/>
                <w:color w:val="17212B"/>
                <w:sz w:val="18"/>
              </w:rPr>
              <w:t>Health19 / VAFHS Sales Admins and Managers</w:t>
            </w:r>
          </w:p>
        </w:tc>
      </w:tr>
      <w:tr>
        <w:trPr>
          <w:cantSplit/>
        </w:trPr>
        <w:tc>
          <w:tcPr>
            <w:tcW w:type="dxa" w:w="2088"/>
            <w:vAlign w:val="center"/>
            <w:shd w:fill="F8FAFB"/>
            <w:tcMar>
              <w:top w:w="90" w:type="dxa"/>
              <w:start w:w="120" w:type="dxa"/>
              <w:bottom w:w="90" w:type="dxa"/>
              <w:end w:w="120" w:type="dxa"/>
            </w:tcMar>
          </w:tcPr>
          <w:p>
            <w:pPr>
              <w:spacing w:after="0" w:line="245" w:lineRule="auto"/>
            </w:pPr>
            <w:r>
              <w:rPr>
                <w:rFonts w:ascii="Aptos" w:hAnsi="Aptos"/>
                <w:b/>
                <w:color w:val="17212B"/>
                <w:sz w:val="18"/>
              </w:rPr>
              <w:t>Evidence current to</w:t>
            </w:r>
          </w:p>
        </w:tc>
        <w:tc>
          <w:tcPr>
            <w:tcW w:type="dxa" w:w="7272"/>
            <w:vAlign w:val="center"/>
            <w:shd w:fill="F8FAFB"/>
            <w:tcMar>
              <w:top w:w="90" w:type="dxa"/>
              <w:start w:w="120" w:type="dxa"/>
              <w:bottom w:w="90" w:type="dxa"/>
              <w:end w:w="120" w:type="dxa"/>
            </w:tcMar>
          </w:tcPr>
          <w:p>
            <w:pPr>
              <w:spacing w:after="0" w:line="245" w:lineRule="auto"/>
            </w:pPr>
            <w:r>
              <w:rPr>
                <w:rFonts w:ascii="Aptos" w:hAnsi="Aptos"/>
                <w:b w:val="0"/>
                <w:color w:val="17212B"/>
                <w:sz w:val="18"/>
              </w:rPr>
              <w:t>19 July 2026 (Australia/Sydney)</w:t>
            </w:r>
          </w:p>
        </w:tc>
      </w:tr>
      <w:tr>
        <w:trPr>
          <w:cantSplit/>
        </w:trPr>
        <w:tc>
          <w:tcPr>
            <w:tcW w:type="dxa" w:w="2088"/>
            <w:vAlign w:val="center"/>
            <w:tcMar>
              <w:top w:w="90" w:type="dxa"/>
              <w:start w:w="120" w:type="dxa"/>
              <w:bottom w:w="90" w:type="dxa"/>
              <w:end w:w="120" w:type="dxa"/>
            </w:tcMar>
          </w:tcPr>
          <w:p>
            <w:pPr>
              <w:spacing w:after="0" w:line="245" w:lineRule="auto"/>
            </w:pPr>
            <w:r>
              <w:rPr>
                <w:rFonts w:ascii="Aptos" w:hAnsi="Aptos"/>
                <w:b/>
                <w:color w:val="17212B"/>
                <w:sz w:val="18"/>
              </w:rPr>
              <w:t>Platform context</w:t>
            </w:r>
          </w:p>
        </w:tc>
        <w:tc>
          <w:tcPr>
            <w:tcW w:type="dxa" w:w="7272"/>
            <w:vAlign w:val="center"/>
            <w:tcMar>
              <w:top w:w="90" w:type="dxa"/>
              <w:start w:w="120" w:type="dxa"/>
              <w:bottom w:w="90" w:type="dxa"/>
              <w:end w:w="120" w:type="dxa"/>
            </w:tcMar>
          </w:tcPr>
          <w:p>
            <w:pPr>
              <w:spacing w:after="0" w:line="245" w:lineRule="auto"/>
            </w:pPr>
            <w:r>
              <w:rPr>
                <w:rFonts w:ascii="Aptos" w:hAnsi="Aptos"/>
                <w:b w:val="0"/>
                <w:color w:val="17212B"/>
                <w:sz w:val="18"/>
              </w:rPr>
              <w:t>Odoo 19; health_crm 19.0.1.5.8; existing Zalo, VoIP24h, messaging, consent and PHI modules</w:t>
            </w:r>
          </w:p>
        </w:tc>
      </w:tr>
      <w:tr>
        <w:trPr>
          <w:cantSplit/>
        </w:trPr>
        <w:tc>
          <w:tcPr>
            <w:tcW w:type="dxa" w:w="2088"/>
            <w:vAlign w:val="center"/>
            <w:shd w:fill="F8FAFB"/>
            <w:tcMar>
              <w:top w:w="90" w:type="dxa"/>
              <w:start w:w="120" w:type="dxa"/>
              <w:bottom w:w="90" w:type="dxa"/>
              <w:end w:w="120" w:type="dxa"/>
            </w:tcMar>
          </w:tcPr>
          <w:p>
            <w:pPr>
              <w:spacing w:after="0" w:line="245" w:lineRule="auto"/>
            </w:pPr>
            <w:r>
              <w:rPr>
                <w:rFonts w:ascii="Aptos" w:hAnsi="Aptos"/>
                <w:b/>
                <w:color w:val="17212B"/>
                <w:sz w:val="18"/>
              </w:rPr>
              <w:t>Evidence types</w:t>
            </w:r>
          </w:p>
        </w:tc>
        <w:tc>
          <w:tcPr>
            <w:tcW w:type="dxa" w:w="7272"/>
            <w:vAlign w:val="center"/>
            <w:shd w:fill="F8FAFB"/>
            <w:tcMar>
              <w:top w:w="90" w:type="dxa"/>
              <w:start w:w="120" w:type="dxa"/>
              <w:bottom w:w="90" w:type="dxa"/>
              <w:end w:w="120" w:type="dxa"/>
            </w:tcMar>
          </w:tcPr>
          <w:p>
            <w:pPr>
              <w:spacing w:after="0" w:line="245" w:lineRule="auto"/>
            </w:pPr>
            <w:r>
              <w:rPr>
                <w:rFonts w:ascii="Aptos" w:hAnsi="Aptos"/>
                <w:b w:val="0"/>
                <w:color w:val="17212B"/>
                <w:sz w:val="18"/>
              </w:rPr>
              <w:t>Official product documentation; attached Pancake screenshots; local repository inspection</w:t>
            </w:r>
          </w:p>
        </w:tc>
      </w:tr>
    </w:tbl>
    <w:p>
      <w:pPr>
        <w:spacing w:after="20"/>
      </w:pPr>
    </w:p>
    <w:p>
      <w:pPr>
        <w:pStyle w:val="Caution"/>
      </w:pPr>
      <w:r>
        <w:rPr>
          <w:rFonts w:ascii="Aptos" w:hAnsi="Aptos"/>
          <w:color w:val="17212B"/>
        </w:rPr>
        <w:t>This report distinguishes product facts from design recommendations. “Verified” means supported by an official source or the supplied screenshots. “Proposed” means a Health19 product decision that still requires design, legal, security and clinical governance approval.</w:t>
      </w:r>
    </w:p>
    <w:p>
      <w:r>
        <w:br w:type="page"/>
      </w:r>
    </w:p>
    <w:p>
      <w:pPr>
        <w:pStyle w:val="Heading1"/>
      </w:pPr>
      <w:r>
        <w:t>1. Executive recommendation</w:t>
      </w:r>
    </w:p>
    <w:p>
      <w:r>
        <w:rPr>
          <w:rFonts w:ascii="Aptos" w:hAnsi="Aptos"/>
          <w:color w:val="17212B"/>
        </w:rPr>
        <w:t>Health19 should create a new CRM Center entry point named Care Command. It should be the daily operating surface for Sales Admins and Managers to answer and place calls, manage chats, resolve identities, book services, coordinate follow-ups and supervise queues without moving among separate Zalo, VoIP, CRM and booking screens.</w:t>
      </w:r>
    </w:p>
    <w:p>
      <w:pPr>
        <w:pStyle w:val="Recommendation"/>
        <w:keepLines/>
      </w:pPr>
      <w:r>
        <w:rPr>
          <w:rFonts w:ascii="Aptos" w:hAnsi="Aptos"/>
          <w:b/>
          <w:color w:val="0B2545"/>
          <w:sz w:val="20"/>
        </w:rPr>
        <w:t xml:space="preserve">NORTH STAR  </w:t>
      </w:r>
      <w:r>
        <w:rPr>
          <w:rFonts w:ascii="Aptos" w:hAnsi="Aptos"/>
          <w:b w:val="0"/>
          <w:color w:val="17212B"/>
          <w:sz w:val="20"/>
        </w:rPr>
        <w:t>Within five seconds of opening any interaction, an authorised user should know: who is speaking; for whom; why now; what has already happened; what is booked; what is risky; what consent applies; and the safest next action.</w:t>
      </w:r>
    </w:p>
    <w:p>
      <w:r>
        <w:rPr>
          <w:rFonts w:ascii="Aptos" w:hAnsi="Aptos"/>
          <w:color w:val="17212B"/>
        </w:rPr>
        <w:t>Why this is differentiated</w:t>
      </w:r>
    </w:p>
    <w:p>
      <w:pPr>
        <w:pStyle w:val="ListBullet"/>
      </w:pPr>
      <w:r>
        <w:rPr>
          <w:rFonts w:ascii="Aptos" w:hAnsi="Aptos"/>
          <w:color w:val="17212B"/>
          <w:sz w:val="20"/>
        </w:rPr>
        <w:t>Generic platforms centre the ticket, conversation or customer. Health19 should centre the care relationship: caller, patient/client, caregiver, payer, referrer and responsible care team are distinct entities.</w:t>
      </w:r>
    </w:p>
    <w:p>
      <w:pPr>
        <w:pStyle w:val="ListBullet"/>
      </w:pPr>
      <w:r>
        <w:rPr>
          <w:rFonts w:ascii="Aptos" w:hAnsi="Aptos"/>
          <w:color w:val="17212B"/>
          <w:sz w:val="20"/>
        </w:rPr>
        <w:t>Generic AI summarises text. Health19 should create a structured continuity brief that reconciles conversations, calls, bookings, commitments, consent and escalation state, with citations back to source events.</w:t>
      </w:r>
    </w:p>
    <w:p>
      <w:pPr>
        <w:pStyle w:val="ListBullet"/>
      </w:pPr>
      <w:r>
        <w:rPr>
          <w:rFonts w:ascii="Aptos" w:hAnsi="Aptos"/>
          <w:color w:val="17212B"/>
          <w:sz w:val="20"/>
        </w:rPr>
        <w:t>Generic routing optimises speed or capacity. Health19 should route using availability, workload, language, location, channel skill, continuity of ownership, patient relationship and safety constraints.</w:t>
      </w:r>
    </w:p>
    <w:p>
      <w:pPr>
        <w:pStyle w:val="ListBullet"/>
      </w:pPr>
      <w:r>
        <w:rPr>
          <w:rFonts w:ascii="Aptos" w:hAnsi="Aptos"/>
          <w:color w:val="17212B"/>
          <w:sz w:val="20"/>
        </w:rPr>
        <w:t>Generic supervisor dashboards show volume and handle time. Health19 should add missed-care recovery, risk queues, unresolved commitments, identity conflicts, AI overrides and consent exceptions.</w:t>
      </w:r>
    </w:p>
    <w:p>
      <w:pPr>
        <w:pStyle w:val="Heading2"/>
      </w:pPr>
      <w:r>
        <w:t>Recommended product shape</w:t>
      </w:r>
    </w:p>
    <w:tbl>
      <w:tblPr>
        <w:tblW w:type="dxa" w:w="936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1512"/>
        <w:gridCol w:w="5184"/>
        <w:gridCol w:w="2664"/>
      </w:tblGrid>
      <w:tr>
        <w:trPr>
          <w:tblHeader w:val="true"/>
          <w:cantSplit/>
        </w:trPr>
        <w:tc>
          <w:tcPr>
            <w:tcW w:type="dxa" w:w="1512"/>
            <w:shd w:fill="0B2545"/>
            <w:vAlign w:val="center"/>
            <w:tcMar>
              <w:top w:w="90" w:type="dxa"/>
              <w:start w:w="120" w:type="dxa"/>
              <w:bottom w:w="90" w:type="dxa"/>
              <w:end w:w="120" w:type="dxa"/>
            </w:tcMar>
          </w:tcPr>
          <w:p>
            <w:pPr>
              <w:spacing w:after="0"/>
              <w:jc w:val="left"/>
            </w:pPr>
            <w:r>
              <w:rPr>
                <w:rFonts w:ascii="Aptos" w:hAnsi="Aptos"/>
                <w:b/>
                <w:color w:val="FFFFFF"/>
                <w:sz w:val="18"/>
              </w:rPr>
              <w:t>Layer</w:t>
            </w:r>
          </w:p>
        </w:tc>
        <w:tc>
          <w:tcPr>
            <w:tcW w:type="dxa" w:w="5184"/>
            <w:shd w:fill="0B2545"/>
            <w:vAlign w:val="center"/>
            <w:tcMar>
              <w:top w:w="90" w:type="dxa"/>
              <w:start w:w="120" w:type="dxa"/>
              <w:bottom w:w="90" w:type="dxa"/>
              <w:end w:w="120" w:type="dxa"/>
            </w:tcMar>
          </w:tcPr>
          <w:p>
            <w:pPr>
              <w:spacing w:after="0"/>
              <w:jc w:val="left"/>
            </w:pPr>
            <w:r>
              <w:rPr>
                <w:rFonts w:ascii="Aptos" w:hAnsi="Aptos"/>
                <w:b/>
                <w:color w:val="FFFFFF"/>
                <w:sz w:val="18"/>
              </w:rPr>
              <w:t>Recommendation</w:t>
            </w:r>
          </w:p>
        </w:tc>
        <w:tc>
          <w:tcPr>
            <w:tcW w:type="dxa" w:w="2664"/>
            <w:shd w:fill="0B2545"/>
            <w:vAlign w:val="center"/>
            <w:tcMar>
              <w:top w:w="90" w:type="dxa"/>
              <w:start w:w="120" w:type="dxa"/>
              <w:bottom w:w="90" w:type="dxa"/>
              <w:end w:w="120" w:type="dxa"/>
            </w:tcMar>
          </w:tcPr>
          <w:p>
            <w:pPr>
              <w:spacing w:after="0"/>
              <w:jc w:val="left"/>
            </w:pPr>
            <w:r>
              <w:rPr>
                <w:rFonts w:ascii="Aptos" w:hAnsi="Aptos"/>
                <w:b/>
                <w:color w:val="FFFFFF"/>
                <w:sz w:val="18"/>
              </w:rPr>
              <w:t>Primary outcome</w:t>
            </w:r>
          </w:p>
        </w:tc>
      </w:tr>
      <w:tr>
        <w:trPr>
          <w:cantSplit/>
        </w:trPr>
        <w:tc>
          <w:tcPr>
            <w:tcW w:type="dxa" w:w="1512"/>
            <w:vAlign w:val="center"/>
            <w:tcMar>
              <w:top w:w="90" w:type="dxa"/>
              <w:start w:w="120" w:type="dxa"/>
              <w:bottom w:w="90" w:type="dxa"/>
              <w:end w:w="120" w:type="dxa"/>
            </w:tcMar>
          </w:tcPr>
          <w:p>
            <w:pPr>
              <w:spacing w:after="0" w:line="245" w:lineRule="auto"/>
            </w:pPr>
            <w:r>
              <w:rPr>
                <w:rFonts w:ascii="Aptos" w:hAnsi="Aptos"/>
                <w:b/>
                <w:color w:val="17212B"/>
                <w:sz w:val="18"/>
              </w:rPr>
              <w:t>Entry point</w:t>
            </w:r>
          </w:p>
        </w:tc>
        <w:tc>
          <w:tcPr>
            <w:tcW w:type="dxa" w:w="5184"/>
            <w:vAlign w:val="center"/>
            <w:tcMar>
              <w:top w:w="90" w:type="dxa"/>
              <w:start w:w="120" w:type="dxa"/>
              <w:bottom w:w="90" w:type="dxa"/>
              <w:end w:w="120" w:type="dxa"/>
            </w:tcMar>
          </w:tcPr>
          <w:p>
            <w:pPr>
              <w:spacing w:after="0" w:line="245" w:lineRule="auto"/>
            </w:pPr>
            <w:r>
              <w:rPr>
                <w:rFonts w:ascii="Aptos" w:hAnsi="Aptos"/>
                <w:b w:val="0"/>
                <w:color w:val="17212B"/>
                <w:sz w:val="18"/>
              </w:rPr>
              <w:t>CRM Center &gt; Care Command (default daily workspace for authorised Sales/Admin roles)</w:t>
            </w:r>
          </w:p>
        </w:tc>
        <w:tc>
          <w:tcPr>
            <w:tcW w:type="dxa" w:w="2664"/>
            <w:vAlign w:val="center"/>
            <w:tcMar>
              <w:top w:w="90" w:type="dxa"/>
              <w:start w:w="120" w:type="dxa"/>
              <w:bottom w:w="90" w:type="dxa"/>
              <w:end w:w="120" w:type="dxa"/>
            </w:tcMar>
          </w:tcPr>
          <w:p>
            <w:pPr>
              <w:spacing w:after="0" w:line="245" w:lineRule="auto"/>
            </w:pPr>
            <w:r>
              <w:rPr>
                <w:rFonts w:ascii="Aptos" w:hAnsi="Aptos"/>
                <w:b w:val="0"/>
                <w:color w:val="17212B"/>
                <w:sz w:val="18"/>
              </w:rPr>
              <w:t>One place to work</w:t>
            </w:r>
          </w:p>
        </w:tc>
      </w:tr>
      <w:tr>
        <w:trPr>
          <w:cantSplit/>
        </w:trPr>
        <w:tc>
          <w:tcPr>
            <w:tcW w:type="dxa" w:w="1512"/>
            <w:vAlign w:val="center"/>
            <w:shd w:fill="F8FAFB"/>
            <w:tcMar>
              <w:top w:w="90" w:type="dxa"/>
              <w:start w:w="120" w:type="dxa"/>
              <w:bottom w:w="90" w:type="dxa"/>
              <w:end w:w="120" w:type="dxa"/>
            </w:tcMar>
          </w:tcPr>
          <w:p>
            <w:pPr>
              <w:spacing w:after="0" w:line="245" w:lineRule="auto"/>
            </w:pPr>
            <w:r>
              <w:rPr>
                <w:rFonts w:ascii="Aptos" w:hAnsi="Aptos"/>
                <w:b/>
                <w:color w:val="17212B"/>
                <w:sz w:val="18"/>
              </w:rPr>
              <w:t>Agent experience</w:t>
            </w:r>
          </w:p>
        </w:tc>
        <w:tc>
          <w:tcPr>
            <w:tcW w:type="dxa" w:w="5184"/>
            <w:vAlign w:val="center"/>
            <w:shd w:fill="F8FAFB"/>
            <w:tcMar>
              <w:top w:w="90" w:type="dxa"/>
              <w:start w:w="120" w:type="dxa"/>
              <w:bottom w:w="90" w:type="dxa"/>
              <w:end w:w="120" w:type="dxa"/>
            </w:tcMar>
          </w:tcPr>
          <w:p>
            <w:pPr>
              <w:spacing w:after="0" w:line="245" w:lineRule="auto"/>
            </w:pPr>
            <w:r>
              <w:rPr>
                <w:rFonts w:ascii="Aptos" w:hAnsi="Aptos"/>
                <w:b w:val="0"/>
                <w:color w:val="17212B"/>
                <w:sz w:val="18"/>
              </w:rPr>
              <w:t>Adaptive four-zone workspace: navigation, queue, interaction, patient/care rail</w:t>
            </w:r>
          </w:p>
        </w:tc>
        <w:tc>
          <w:tcPr>
            <w:tcW w:type="dxa" w:w="2664"/>
            <w:vAlign w:val="center"/>
            <w:shd w:fill="F8FAFB"/>
            <w:tcMar>
              <w:top w:w="90" w:type="dxa"/>
              <w:start w:w="120" w:type="dxa"/>
              <w:bottom w:w="90" w:type="dxa"/>
              <w:end w:w="120" w:type="dxa"/>
            </w:tcMar>
          </w:tcPr>
          <w:p>
            <w:pPr>
              <w:spacing w:after="0" w:line="245" w:lineRule="auto"/>
            </w:pPr>
            <w:r>
              <w:rPr>
                <w:rFonts w:ascii="Aptos" w:hAnsi="Aptos"/>
                <w:b w:val="0"/>
                <w:color w:val="17212B"/>
                <w:sz w:val="18"/>
              </w:rPr>
              <w:t>Fast context without clutter</w:t>
            </w:r>
          </w:p>
        </w:tc>
      </w:tr>
      <w:tr>
        <w:trPr>
          <w:cantSplit/>
        </w:trPr>
        <w:tc>
          <w:tcPr>
            <w:tcW w:type="dxa" w:w="1512"/>
            <w:vAlign w:val="center"/>
            <w:tcMar>
              <w:top w:w="90" w:type="dxa"/>
              <w:start w:w="120" w:type="dxa"/>
              <w:bottom w:w="90" w:type="dxa"/>
              <w:end w:w="120" w:type="dxa"/>
            </w:tcMar>
          </w:tcPr>
          <w:p>
            <w:pPr>
              <w:spacing w:after="0" w:line="245" w:lineRule="auto"/>
            </w:pPr>
            <w:r>
              <w:rPr>
                <w:rFonts w:ascii="Aptos" w:hAnsi="Aptos"/>
                <w:b/>
                <w:color w:val="17212B"/>
                <w:sz w:val="18"/>
              </w:rPr>
              <w:t>Manager experience</w:t>
            </w:r>
          </w:p>
        </w:tc>
        <w:tc>
          <w:tcPr>
            <w:tcW w:type="dxa" w:w="5184"/>
            <w:vAlign w:val="center"/>
            <w:tcMar>
              <w:top w:w="90" w:type="dxa"/>
              <w:start w:w="120" w:type="dxa"/>
              <w:bottom w:w="90" w:type="dxa"/>
              <w:end w:w="120" w:type="dxa"/>
            </w:tcMar>
          </w:tcPr>
          <w:p>
            <w:pPr>
              <w:spacing w:after="0" w:line="245" w:lineRule="auto"/>
            </w:pPr>
            <w:r>
              <w:rPr>
                <w:rFonts w:ascii="Aptos" w:hAnsi="Aptos"/>
                <w:b w:val="0"/>
                <w:color w:val="17212B"/>
                <w:sz w:val="18"/>
              </w:rPr>
              <w:t>Live operations view, queue controls, coaching, QA and AI governance</w:t>
            </w:r>
          </w:p>
        </w:tc>
        <w:tc>
          <w:tcPr>
            <w:tcW w:type="dxa" w:w="2664"/>
            <w:vAlign w:val="center"/>
            <w:tcMar>
              <w:top w:w="90" w:type="dxa"/>
              <w:start w:w="120" w:type="dxa"/>
              <w:bottom w:w="90" w:type="dxa"/>
              <w:end w:w="120" w:type="dxa"/>
            </w:tcMar>
          </w:tcPr>
          <w:p>
            <w:pPr>
              <w:spacing w:after="0" w:line="245" w:lineRule="auto"/>
            </w:pPr>
            <w:r>
              <w:rPr>
                <w:rFonts w:ascii="Aptos" w:hAnsi="Aptos"/>
                <w:b w:val="0"/>
                <w:color w:val="17212B"/>
                <w:sz w:val="18"/>
              </w:rPr>
              <w:t>Actionable supervision</w:t>
            </w:r>
          </w:p>
        </w:tc>
      </w:tr>
      <w:tr>
        <w:trPr>
          <w:cantSplit/>
        </w:trPr>
        <w:tc>
          <w:tcPr>
            <w:tcW w:type="dxa" w:w="1512"/>
            <w:vAlign w:val="center"/>
            <w:shd w:fill="F8FAFB"/>
            <w:tcMar>
              <w:top w:w="90" w:type="dxa"/>
              <w:start w:w="120" w:type="dxa"/>
              <w:bottom w:w="90" w:type="dxa"/>
              <w:end w:w="120" w:type="dxa"/>
            </w:tcMar>
          </w:tcPr>
          <w:p>
            <w:pPr>
              <w:spacing w:after="0" w:line="245" w:lineRule="auto"/>
            </w:pPr>
            <w:r>
              <w:rPr>
                <w:rFonts w:ascii="Aptos" w:hAnsi="Aptos"/>
                <w:b/>
                <w:color w:val="17212B"/>
                <w:sz w:val="18"/>
              </w:rPr>
              <w:t>Channel core</w:t>
            </w:r>
          </w:p>
        </w:tc>
        <w:tc>
          <w:tcPr>
            <w:tcW w:type="dxa" w:w="5184"/>
            <w:vAlign w:val="center"/>
            <w:shd w:fill="F8FAFB"/>
            <w:tcMar>
              <w:top w:w="90" w:type="dxa"/>
              <w:start w:w="120" w:type="dxa"/>
              <w:bottom w:w="90" w:type="dxa"/>
              <w:end w:w="120" w:type="dxa"/>
            </w:tcMar>
          </w:tcPr>
          <w:p>
            <w:pPr>
              <w:spacing w:after="0" w:line="245" w:lineRule="auto"/>
            </w:pPr>
            <w:r>
              <w:rPr>
                <w:rFonts w:ascii="Aptos" w:hAnsi="Aptos"/>
                <w:b w:val="0"/>
                <w:color w:val="17212B"/>
                <w:sz w:val="18"/>
              </w:rPr>
              <w:t>Canonical conversation/interaction models; adapters for Zalo, VoIP24h, email, web chat, social and future CCaaS</w:t>
            </w:r>
          </w:p>
        </w:tc>
        <w:tc>
          <w:tcPr>
            <w:tcW w:type="dxa" w:w="2664"/>
            <w:vAlign w:val="center"/>
            <w:shd w:fill="F8FAFB"/>
            <w:tcMar>
              <w:top w:w="90" w:type="dxa"/>
              <w:start w:w="120" w:type="dxa"/>
              <w:bottom w:w="90" w:type="dxa"/>
              <w:end w:w="120" w:type="dxa"/>
            </w:tcMar>
          </w:tcPr>
          <w:p>
            <w:pPr>
              <w:spacing w:after="0" w:line="245" w:lineRule="auto"/>
            </w:pPr>
            <w:r>
              <w:rPr>
                <w:rFonts w:ascii="Aptos" w:hAnsi="Aptos"/>
                <w:b w:val="0"/>
                <w:color w:val="17212B"/>
                <w:sz w:val="18"/>
              </w:rPr>
              <w:t>No channel silos</w:t>
            </w:r>
          </w:p>
        </w:tc>
      </w:tr>
      <w:tr>
        <w:trPr>
          <w:cantSplit/>
        </w:trPr>
        <w:tc>
          <w:tcPr>
            <w:tcW w:type="dxa" w:w="1512"/>
            <w:vAlign w:val="center"/>
            <w:tcMar>
              <w:top w:w="90" w:type="dxa"/>
              <w:start w:w="120" w:type="dxa"/>
              <w:bottom w:w="90" w:type="dxa"/>
              <w:end w:w="120" w:type="dxa"/>
            </w:tcMar>
          </w:tcPr>
          <w:p>
            <w:pPr>
              <w:spacing w:after="0" w:line="245" w:lineRule="auto"/>
            </w:pPr>
            <w:r>
              <w:rPr>
                <w:rFonts w:ascii="Aptos" w:hAnsi="Aptos"/>
                <w:b/>
                <w:color w:val="17212B"/>
                <w:sz w:val="18"/>
              </w:rPr>
              <w:t>AI core</w:t>
            </w:r>
          </w:p>
        </w:tc>
        <w:tc>
          <w:tcPr>
            <w:tcW w:type="dxa" w:w="5184"/>
            <w:vAlign w:val="center"/>
            <w:tcMar>
              <w:top w:w="90" w:type="dxa"/>
              <w:start w:w="120" w:type="dxa"/>
              <w:bottom w:w="90" w:type="dxa"/>
              <w:end w:w="120" w:type="dxa"/>
            </w:tcMar>
          </w:tcPr>
          <w:p>
            <w:pPr>
              <w:spacing w:after="0" w:line="245" w:lineRule="auto"/>
            </w:pPr>
            <w:r>
              <w:rPr>
                <w:rFonts w:ascii="Aptos" w:hAnsi="Aptos"/>
                <w:b w:val="0"/>
                <w:color w:val="17212B"/>
                <w:sz w:val="18"/>
              </w:rPr>
              <w:t>Continuity brief, relationship resolver, safety shield, next-best-action, live assist and wrap-up</w:t>
            </w:r>
          </w:p>
        </w:tc>
        <w:tc>
          <w:tcPr>
            <w:tcW w:type="dxa" w:w="2664"/>
            <w:vAlign w:val="center"/>
            <w:tcMar>
              <w:top w:w="90" w:type="dxa"/>
              <w:start w:w="120" w:type="dxa"/>
              <w:bottom w:w="90" w:type="dxa"/>
              <w:end w:w="120" w:type="dxa"/>
            </w:tcMar>
          </w:tcPr>
          <w:p>
            <w:pPr>
              <w:spacing w:after="0" w:line="245" w:lineRule="auto"/>
            </w:pPr>
            <w:r>
              <w:rPr>
                <w:rFonts w:ascii="Aptos" w:hAnsi="Aptos"/>
                <w:b w:val="0"/>
                <w:color w:val="17212B"/>
                <w:sz w:val="18"/>
              </w:rPr>
              <w:t>Reduced cognitive load</w:t>
            </w:r>
          </w:p>
        </w:tc>
      </w:tr>
      <w:tr>
        <w:trPr>
          <w:cantSplit/>
        </w:trPr>
        <w:tc>
          <w:tcPr>
            <w:tcW w:type="dxa" w:w="1512"/>
            <w:vAlign w:val="center"/>
            <w:shd w:fill="F8FAFB"/>
            <w:tcMar>
              <w:top w:w="90" w:type="dxa"/>
              <w:start w:w="120" w:type="dxa"/>
              <w:bottom w:w="90" w:type="dxa"/>
              <w:end w:w="120" w:type="dxa"/>
            </w:tcMar>
          </w:tcPr>
          <w:p>
            <w:pPr>
              <w:spacing w:after="0" w:line="245" w:lineRule="auto"/>
            </w:pPr>
            <w:r>
              <w:rPr>
                <w:rFonts w:ascii="Aptos" w:hAnsi="Aptos"/>
                <w:b/>
                <w:color w:val="17212B"/>
                <w:sz w:val="18"/>
              </w:rPr>
              <w:t>Trust core</w:t>
            </w:r>
          </w:p>
        </w:tc>
        <w:tc>
          <w:tcPr>
            <w:tcW w:type="dxa" w:w="5184"/>
            <w:vAlign w:val="center"/>
            <w:shd w:fill="F8FAFB"/>
            <w:tcMar>
              <w:top w:w="90" w:type="dxa"/>
              <w:start w:w="120" w:type="dxa"/>
              <w:bottom w:w="90" w:type="dxa"/>
              <w:end w:w="120" w:type="dxa"/>
            </w:tcMar>
          </w:tcPr>
          <w:p>
            <w:pPr>
              <w:spacing w:after="0" w:line="245" w:lineRule="auto"/>
            </w:pPr>
            <w:r>
              <w:rPr>
                <w:rFonts w:ascii="Aptos" w:hAnsi="Aptos"/>
                <w:b w:val="0"/>
                <w:color w:val="17212B"/>
                <w:sz w:val="18"/>
              </w:rPr>
              <w:t>Consent, least privilege, encryption, redaction, retention, immutable audit and human review</w:t>
            </w:r>
          </w:p>
        </w:tc>
        <w:tc>
          <w:tcPr>
            <w:tcW w:type="dxa" w:w="2664"/>
            <w:vAlign w:val="center"/>
            <w:shd w:fill="F8FAFB"/>
            <w:tcMar>
              <w:top w:w="90" w:type="dxa"/>
              <w:start w:w="120" w:type="dxa"/>
              <w:bottom w:w="90" w:type="dxa"/>
              <w:end w:w="120" w:type="dxa"/>
            </w:tcMar>
          </w:tcPr>
          <w:p>
            <w:pPr>
              <w:spacing w:after="0" w:line="245" w:lineRule="auto"/>
            </w:pPr>
            <w:r>
              <w:rPr>
                <w:rFonts w:ascii="Aptos" w:hAnsi="Aptos"/>
                <w:b w:val="0"/>
                <w:color w:val="17212B"/>
                <w:sz w:val="18"/>
              </w:rPr>
              <w:t>Healthcare-safe operations</w:t>
            </w:r>
          </w:p>
        </w:tc>
      </w:tr>
    </w:tbl>
    <w:p>
      <w:pPr>
        <w:spacing w:after="20"/>
      </w:pPr>
    </w:p>
    <w:p>
      <w:pPr>
        <w:pStyle w:val="Heading1"/>
      </w:pPr>
      <w:r>
        <w:t>2. Evidence method and interpretation</w:t>
      </w:r>
    </w:p>
    <w:p>
      <w:r>
        <w:rPr>
          <w:rFonts w:ascii="Aptos" w:hAnsi="Aptos"/>
          <w:color w:val="17212B"/>
        </w:rPr>
        <w:t>The study reviewed current public documentation available on 19 July 2026, the four screenshots embedded in pancake.docx, and the Health19 repository. Product packaging changes frequently; plan-specific, regional, add-on and contractual conditions must be validated during procurement.</w:t>
      </w:r>
    </w:p>
    <w:tbl>
      <w:tblPr>
        <w:tblW w:type="dxa" w:w="936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1080"/>
        <w:gridCol w:w="8280"/>
      </w:tblGrid>
      <w:tr>
        <w:trPr>
          <w:tblHeader w:val="true"/>
          <w:cantSplit/>
        </w:trPr>
        <w:tc>
          <w:tcPr>
            <w:tcW w:type="dxa" w:w="1080"/>
            <w:shd w:fill="0B6E99"/>
            <w:vAlign w:val="center"/>
            <w:tcMar>
              <w:top w:w="90" w:type="dxa"/>
              <w:start w:w="120" w:type="dxa"/>
              <w:bottom w:w="90" w:type="dxa"/>
              <w:end w:w="120" w:type="dxa"/>
            </w:tcMar>
          </w:tcPr>
          <w:p>
            <w:pPr>
              <w:spacing w:after="0"/>
              <w:jc w:val="left"/>
            </w:pPr>
            <w:r>
              <w:rPr>
                <w:rFonts w:ascii="Aptos" w:hAnsi="Aptos"/>
                <w:b/>
                <w:color w:val="FFFFFF"/>
                <w:sz w:val="18"/>
              </w:rPr>
              <w:t>Marker</w:t>
            </w:r>
          </w:p>
        </w:tc>
        <w:tc>
          <w:tcPr>
            <w:tcW w:type="dxa" w:w="8280"/>
            <w:shd w:fill="0B6E99"/>
            <w:vAlign w:val="center"/>
            <w:tcMar>
              <w:top w:w="90" w:type="dxa"/>
              <w:start w:w="120" w:type="dxa"/>
              <w:bottom w:w="90" w:type="dxa"/>
              <w:end w:w="120" w:type="dxa"/>
            </w:tcMar>
          </w:tcPr>
          <w:p>
            <w:pPr>
              <w:spacing w:after="0"/>
              <w:jc w:val="left"/>
            </w:pPr>
            <w:r>
              <w:rPr>
                <w:rFonts w:ascii="Aptos" w:hAnsi="Aptos"/>
                <w:b/>
                <w:color w:val="FFFFFF"/>
                <w:sz w:val="18"/>
              </w:rPr>
              <w:t>Meaning</w:t>
            </w:r>
          </w:p>
        </w:tc>
      </w:tr>
      <w:tr>
        <w:trPr>
          <w:cantSplit/>
        </w:trPr>
        <w:tc>
          <w:tcPr>
            <w:tcW w:type="dxa" w:w="1080"/>
            <w:vAlign w:val="center"/>
            <w:tcMar>
              <w:top w:w="90" w:type="dxa"/>
              <w:start w:w="120" w:type="dxa"/>
              <w:bottom w:w="90" w:type="dxa"/>
              <w:end w:w="120" w:type="dxa"/>
            </w:tcMar>
          </w:tcPr>
          <w:p>
            <w:pPr>
              <w:spacing w:after="0" w:line="245" w:lineRule="auto"/>
            </w:pPr>
            <w:r>
              <w:rPr>
                <w:rFonts w:ascii="Aptos" w:hAnsi="Aptos"/>
                <w:b/>
                <w:color w:val="17212B"/>
                <w:sz w:val="18"/>
              </w:rPr>
              <w:t>V</w:t>
            </w:r>
          </w:p>
        </w:tc>
        <w:tc>
          <w:tcPr>
            <w:tcW w:type="dxa" w:w="8280"/>
            <w:vAlign w:val="center"/>
            <w:tcMar>
              <w:top w:w="90" w:type="dxa"/>
              <w:start w:w="120" w:type="dxa"/>
              <w:bottom w:w="90" w:type="dxa"/>
              <w:end w:w="120" w:type="dxa"/>
            </w:tcMar>
          </w:tcPr>
          <w:p>
            <w:pPr>
              <w:spacing w:after="0" w:line="245" w:lineRule="auto"/>
            </w:pPr>
            <w:r>
              <w:rPr>
                <w:rFonts w:ascii="Aptos" w:hAnsi="Aptos"/>
                <w:b w:val="0"/>
                <w:color w:val="17212B"/>
                <w:sz w:val="18"/>
              </w:rPr>
              <w:t>Verified product capability from an official vendor source listed in Appendix A.</w:t>
            </w:r>
          </w:p>
        </w:tc>
      </w:tr>
      <w:tr>
        <w:trPr>
          <w:cantSplit/>
        </w:trPr>
        <w:tc>
          <w:tcPr>
            <w:tcW w:type="dxa" w:w="1080"/>
            <w:vAlign w:val="center"/>
            <w:shd w:fill="F8FAFB"/>
            <w:tcMar>
              <w:top w:w="90" w:type="dxa"/>
              <w:start w:w="120" w:type="dxa"/>
              <w:bottom w:w="90" w:type="dxa"/>
              <w:end w:w="120" w:type="dxa"/>
            </w:tcMar>
          </w:tcPr>
          <w:p>
            <w:pPr>
              <w:spacing w:after="0" w:line="245" w:lineRule="auto"/>
            </w:pPr>
            <w:r>
              <w:rPr>
                <w:rFonts w:ascii="Aptos" w:hAnsi="Aptos"/>
                <w:b/>
                <w:color w:val="17212B"/>
                <w:sz w:val="18"/>
              </w:rPr>
              <w:t>P</w:t>
            </w:r>
          </w:p>
        </w:tc>
        <w:tc>
          <w:tcPr>
            <w:tcW w:type="dxa" w:w="8280"/>
            <w:vAlign w:val="center"/>
            <w:shd w:fill="F8FAFB"/>
            <w:tcMar>
              <w:top w:w="90" w:type="dxa"/>
              <w:start w:w="120" w:type="dxa"/>
              <w:bottom w:w="90" w:type="dxa"/>
              <w:end w:w="120" w:type="dxa"/>
            </w:tcMar>
          </w:tcPr>
          <w:p>
            <w:pPr>
              <w:spacing w:after="0" w:line="245" w:lineRule="auto"/>
            </w:pPr>
            <w:r>
              <w:rPr>
                <w:rFonts w:ascii="Aptos" w:hAnsi="Aptos"/>
                <w:b w:val="0"/>
                <w:color w:val="17212B"/>
                <w:sz w:val="18"/>
              </w:rPr>
              <w:t>Visible in the user-supplied Pancake screenshot set.</w:t>
            </w:r>
          </w:p>
        </w:tc>
      </w:tr>
      <w:tr>
        <w:trPr>
          <w:cantSplit/>
        </w:trPr>
        <w:tc>
          <w:tcPr>
            <w:tcW w:type="dxa" w:w="1080"/>
            <w:vAlign w:val="center"/>
            <w:tcMar>
              <w:top w:w="90" w:type="dxa"/>
              <w:start w:w="120" w:type="dxa"/>
              <w:bottom w:w="90" w:type="dxa"/>
              <w:end w:w="120" w:type="dxa"/>
            </w:tcMar>
          </w:tcPr>
          <w:p>
            <w:pPr>
              <w:spacing w:after="0" w:line="245" w:lineRule="auto"/>
            </w:pPr>
            <w:r>
              <w:rPr>
                <w:rFonts w:ascii="Aptos" w:hAnsi="Aptos"/>
                <w:b/>
                <w:color w:val="17212B"/>
                <w:sz w:val="18"/>
              </w:rPr>
              <w:t>R</w:t>
            </w:r>
          </w:p>
        </w:tc>
        <w:tc>
          <w:tcPr>
            <w:tcW w:type="dxa" w:w="8280"/>
            <w:vAlign w:val="center"/>
            <w:tcMar>
              <w:top w:w="90" w:type="dxa"/>
              <w:start w:w="120" w:type="dxa"/>
              <w:bottom w:w="90" w:type="dxa"/>
              <w:end w:w="120" w:type="dxa"/>
            </w:tcMar>
          </w:tcPr>
          <w:p>
            <w:pPr>
              <w:spacing w:after="0" w:line="245" w:lineRule="auto"/>
            </w:pPr>
            <w:r>
              <w:rPr>
                <w:rFonts w:ascii="Aptos" w:hAnsi="Aptos"/>
                <w:b w:val="0"/>
                <w:color w:val="17212B"/>
                <w:sz w:val="18"/>
              </w:rPr>
              <w:t>Health19 recommendation; not a claim about a competitor.</w:t>
            </w:r>
          </w:p>
        </w:tc>
      </w:tr>
      <w:tr>
        <w:trPr>
          <w:cantSplit/>
        </w:trPr>
        <w:tc>
          <w:tcPr>
            <w:tcW w:type="dxa" w:w="1080"/>
            <w:vAlign w:val="center"/>
            <w:shd w:fill="F8FAFB"/>
            <w:tcMar>
              <w:top w:w="90" w:type="dxa"/>
              <w:start w:w="120" w:type="dxa"/>
              <w:bottom w:w="90" w:type="dxa"/>
              <w:end w:w="120" w:type="dxa"/>
            </w:tcMar>
          </w:tcPr>
          <w:p>
            <w:pPr>
              <w:spacing w:after="0" w:line="245" w:lineRule="auto"/>
            </w:pPr>
            <w:r>
              <w:rPr>
                <w:rFonts w:ascii="Aptos" w:hAnsi="Aptos"/>
                <w:b/>
                <w:color w:val="17212B"/>
                <w:sz w:val="18"/>
              </w:rPr>
              <w:t>NV</w:t>
            </w:r>
          </w:p>
        </w:tc>
        <w:tc>
          <w:tcPr>
            <w:tcW w:type="dxa" w:w="8280"/>
            <w:vAlign w:val="center"/>
            <w:shd w:fill="F8FAFB"/>
            <w:tcMar>
              <w:top w:w="90" w:type="dxa"/>
              <w:start w:w="120" w:type="dxa"/>
              <w:bottom w:w="90" w:type="dxa"/>
              <w:end w:w="120" w:type="dxa"/>
            </w:tcMar>
          </w:tcPr>
          <w:p>
            <w:pPr>
              <w:spacing w:after="0" w:line="245" w:lineRule="auto"/>
            </w:pPr>
            <w:r>
              <w:rPr>
                <w:rFonts w:ascii="Aptos" w:hAnsi="Aptos"/>
                <w:b w:val="0"/>
                <w:color w:val="17212B"/>
                <w:sz w:val="18"/>
              </w:rPr>
              <w:t>Not verified in the sources reviewed. This does not prove the capability is absent.</w:t>
            </w:r>
          </w:p>
        </w:tc>
      </w:tr>
    </w:tbl>
    <w:p>
      <w:pPr>
        <w:spacing w:after="20"/>
      </w:pPr>
    </w:p>
    <w:p>
      <w:pPr>
        <w:pStyle w:val="Risk"/>
        <w:keepLines/>
      </w:pPr>
      <w:r>
        <w:rPr>
          <w:rFonts w:ascii="Aptos" w:hAnsi="Aptos"/>
          <w:b/>
          <w:color w:val="0B2545"/>
          <w:sz w:val="20"/>
        </w:rPr>
        <w:t xml:space="preserve">COMPLIANCE NOTE  </w:t>
      </w:r>
      <w:r>
        <w:rPr>
          <w:rFonts w:ascii="Aptos" w:hAnsi="Aptos"/>
          <w:b w:val="0"/>
          <w:color w:val="17212B"/>
          <w:sz w:val="20"/>
        </w:rPr>
        <w:t>HIPAA, HDS, SOC or “healthcare-ready” claims are not blanket approval. A deployment is compliant only when the exact products, features, regions, subprocessors, configuration, contract/BAA, retention, integrations and operating practices are in scope. Vietnam-specific privacy, cybersecurity, medical-record and telecom requirements require local legal review.</w:t>
      </w:r>
    </w:p>
    <w:p>
      <w:pPr>
        <w:pStyle w:val="Heading1"/>
      </w:pPr>
      <w:r>
        <w:t>3. Pancake screenshot review</w:t>
      </w:r>
    </w:p>
    <w:p>
      <w:r>
        <w:rPr>
          <w:rFonts w:ascii="Aptos" w:hAnsi="Aptos"/>
          <w:color w:val="17212B"/>
        </w:rPr>
        <w:t>The screenshots show an omnichannel commerce workspace with page-level colour coding, per-page and multipage settings, round-robin assignment controls, an inbox/message/customer-information layout, conversation tags and order context. Pancake’s current public pages also describe unified conversations across Facebook, Instagram, WhatsApp, TikTok and more; its CRM describes Zalo lead sync, and its POS describes recorded call management and scheduled calls. [S01–S03]</w:t>
      </w:r>
    </w:p>
    <w:p>
      <w:r>
        <w:drawing>
          <wp:inline xmlns:a="http://schemas.openxmlformats.org/drawingml/2006/main" xmlns:pic="http://schemas.openxmlformats.org/drawingml/2006/picture">
            <wp:extent cx="6080760" cy="3445306"/>
            <wp:docPr id="1" name="Picture 1" title="Pancake conversation workspace" descr="Supplied Pancake screenshot showing a three-pane agent workspace: conversation queue on the left, active chat and composer in the centre, and customer notes and order context on the right."/>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6080760" cy="3445306"/>
                    </a:xfrm>
                    <a:prstGeom prst="rect"/>
                  </pic:spPr>
                </pic:pic>
              </a:graphicData>
            </a:graphic>
          </wp:inline>
        </w:drawing>
      </w:r>
    </w:p>
    <w:p>
      <w:pPr>
        <w:spacing w:before="60" w:after="160"/>
        <w:jc w:val="center"/>
      </w:pPr>
      <w:r>
        <w:rPr>
          <w:rFonts w:ascii="Aptos" w:hAnsi="Aptos"/>
          <w:b w:val="0"/>
          <w:i/>
          <w:color w:val="5F6B76"/>
          <w:sz w:val="17"/>
        </w:rPr>
        <w:t>Figure 1. Supplied Pancake conversation workspace (P): list, conversation, composer/tags and commerce-oriented context rail.</w:t>
      </w:r>
    </w:p>
    <w:p>
      <w:pPr>
        <w:pStyle w:val="Heading2"/>
      </w:pPr>
      <w:r>
        <w:t>What works</w:t>
      </w:r>
    </w:p>
    <w:p>
      <w:pPr>
        <w:pStyle w:val="ListBullet"/>
      </w:pPr>
      <w:r>
        <w:rPr>
          <w:rFonts w:ascii="Aptos" w:hAnsi="Aptos"/>
          <w:color w:val="17212B"/>
          <w:sz w:val="20"/>
        </w:rPr>
        <w:t>Three-pane spatial model keeps the queue, active thread and context visible.</w:t>
      </w:r>
    </w:p>
    <w:p>
      <w:pPr>
        <w:pStyle w:val="ListBullet"/>
      </w:pPr>
      <w:r>
        <w:rPr>
          <w:rFonts w:ascii="Aptos" w:hAnsi="Aptos"/>
          <w:color w:val="17212B"/>
          <w:sz w:val="20"/>
        </w:rPr>
        <w:t>Channel/page markers and avatars make high-volume scanning faster.</w:t>
      </w:r>
    </w:p>
    <w:p>
      <w:pPr>
        <w:pStyle w:val="ListBullet"/>
      </w:pPr>
      <w:r>
        <w:rPr>
          <w:rFonts w:ascii="Aptos" w:hAnsi="Aptos"/>
          <w:color w:val="17212B"/>
          <w:sz w:val="20"/>
        </w:rPr>
        <w:t>Round-robin, online-status and re-assignment controls expose operational policy.</w:t>
      </w:r>
    </w:p>
    <w:p>
      <w:pPr>
        <w:pStyle w:val="ListBullet"/>
      </w:pPr>
      <w:r>
        <w:rPr>
          <w:rFonts w:ascii="Aptos" w:hAnsi="Aptos"/>
          <w:color w:val="17212B"/>
          <w:sz w:val="20"/>
        </w:rPr>
        <w:t>Quick tags and reply controls support sales teams working at speed.</w:t>
      </w:r>
    </w:p>
    <w:p>
      <w:pPr>
        <w:pStyle w:val="Heading2"/>
      </w:pPr>
      <w:r>
        <w:t>Where it can be materially improved for healthcare</w:t>
      </w:r>
    </w:p>
    <w:tbl>
      <w:tblPr>
        <w:tblW w:type="dxa" w:w="936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2376"/>
        <w:gridCol w:w="3096"/>
        <w:gridCol w:w="3888"/>
      </w:tblGrid>
      <w:tr>
        <w:trPr>
          <w:tblHeader w:val="true"/>
          <w:cantSplit/>
        </w:trPr>
        <w:tc>
          <w:tcPr>
            <w:tcW w:type="dxa" w:w="2376"/>
            <w:shd w:fill="0B2545"/>
            <w:vAlign w:val="center"/>
            <w:tcMar>
              <w:top w:w="90" w:type="dxa"/>
              <w:start w:w="120" w:type="dxa"/>
              <w:bottom w:w="90" w:type="dxa"/>
              <w:end w:w="120" w:type="dxa"/>
            </w:tcMar>
          </w:tcPr>
          <w:p>
            <w:pPr>
              <w:spacing w:after="0"/>
              <w:jc w:val="left"/>
            </w:pPr>
            <w:r>
              <w:rPr>
                <w:rFonts w:ascii="Aptos" w:hAnsi="Aptos"/>
                <w:b/>
                <w:color w:val="FFFFFF"/>
                <w:sz w:val="17"/>
              </w:rPr>
              <w:t>Observed pattern (P)</w:t>
            </w:r>
          </w:p>
        </w:tc>
        <w:tc>
          <w:tcPr>
            <w:tcW w:type="dxa" w:w="3096"/>
            <w:shd w:fill="0B2545"/>
            <w:vAlign w:val="center"/>
            <w:tcMar>
              <w:top w:w="90" w:type="dxa"/>
              <w:start w:w="120" w:type="dxa"/>
              <w:bottom w:w="90" w:type="dxa"/>
              <w:end w:w="120" w:type="dxa"/>
            </w:tcMar>
          </w:tcPr>
          <w:p>
            <w:pPr>
              <w:spacing w:after="0"/>
              <w:jc w:val="left"/>
            </w:pPr>
            <w:r>
              <w:rPr>
                <w:rFonts w:ascii="Aptos" w:hAnsi="Aptos"/>
                <w:b/>
                <w:color w:val="FFFFFF"/>
                <w:sz w:val="17"/>
              </w:rPr>
              <w:t>Operational risk</w:t>
            </w:r>
          </w:p>
        </w:tc>
        <w:tc>
          <w:tcPr>
            <w:tcW w:type="dxa" w:w="3888"/>
            <w:shd w:fill="0B2545"/>
            <w:vAlign w:val="center"/>
            <w:tcMar>
              <w:top w:w="90" w:type="dxa"/>
              <w:start w:w="120" w:type="dxa"/>
              <w:bottom w:w="90" w:type="dxa"/>
              <w:end w:w="120" w:type="dxa"/>
            </w:tcMar>
          </w:tcPr>
          <w:p>
            <w:pPr>
              <w:spacing w:after="0"/>
              <w:jc w:val="left"/>
            </w:pPr>
            <w:r>
              <w:rPr>
                <w:rFonts w:ascii="Aptos" w:hAnsi="Aptos"/>
                <w:b/>
                <w:color w:val="FFFFFF"/>
                <w:sz w:val="17"/>
              </w:rPr>
              <w:t>Health19 response (R)</w:t>
            </w:r>
          </w:p>
        </w:tc>
      </w:tr>
      <w:tr>
        <w:trPr>
          <w:cantSplit/>
        </w:trPr>
        <w:tc>
          <w:tcPr>
            <w:tcW w:type="dxa" w:w="2376"/>
            <w:vAlign w:val="center"/>
            <w:tcMar>
              <w:top w:w="90" w:type="dxa"/>
              <w:start w:w="120" w:type="dxa"/>
              <w:bottom w:w="90" w:type="dxa"/>
              <w:end w:w="120" w:type="dxa"/>
            </w:tcMar>
          </w:tcPr>
          <w:p>
            <w:pPr>
              <w:spacing w:after="0" w:line="245" w:lineRule="auto"/>
            </w:pPr>
            <w:r>
              <w:rPr>
                <w:rFonts w:ascii="Aptos" w:hAnsi="Aptos"/>
                <w:b/>
                <w:color w:val="17212B"/>
                <w:sz w:val="17"/>
              </w:rPr>
              <w:t>Dense conversation list; colour and badges compete</w:t>
            </w:r>
          </w:p>
        </w:tc>
        <w:tc>
          <w:tcPr>
            <w:tcW w:type="dxa" w:w="3096"/>
            <w:vAlign w:val="center"/>
            <w:tcMar>
              <w:top w:w="90" w:type="dxa"/>
              <w:start w:w="120" w:type="dxa"/>
              <w:bottom w:w="90" w:type="dxa"/>
              <w:end w:w="120" w:type="dxa"/>
            </w:tcMar>
          </w:tcPr>
          <w:p>
            <w:pPr>
              <w:spacing w:after="0" w:line="245" w:lineRule="auto"/>
            </w:pPr>
            <w:r>
              <w:rPr>
                <w:rFonts w:ascii="Aptos" w:hAnsi="Aptos"/>
                <w:b w:val="0"/>
                <w:color w:val="17212B"/>
                <w:sz w:val="17"/>
              </w:rPr>
              <w:t>Urgency, SLA and ownership are hard to parse</w:t>
            </w:r>
          </w:p>
        </w:tc>
        <w:tc>
          <w:tcPr>
            <w:tcW w:type="dxa" w:w="3888"/>
            <w:vAlign w:val="center"/>
            <w:tcMar>
              <w:top w:w="90" w:type="dxa"/>
              <w:start w:w="120" w:type="dxa"/>
              <w:bottom w:w="90" w:type="dxa"/>
              <w:end w:w="120" w:type="dxa"/>
            </w:tcMar>
          </w:tcPr>
          <w:p>
            <w:pPr>
              <w:spacing w:after="0" w:line="245" w:lineRule="auto"/>
            </w:pPr>
            <w:r>
              <w:rPr>
                <w:rFonts w:ascii="Aptos" w:hAnsi="Aptos"/>
                <w:b w:val="0"/>
                <w:color w:val="17212B"/>
                <w:sz w:val="17"/>
              </w:rPr>
              <w:t>One dominant priority signal; semantic queue reasons; SLA countdown; keyboard triage</w:t>
            </w:r>
          </w:p>
        </w:tc>
      </w:tr>
      <w:tr>
        <w:trPr>
          <w:cantSplit/>
        </w:trPr>
        <w:tc>
          <w:tcPr>
            <w:tcW w:type="dxa" w:w="2376"/>
            <w:vAlign w:val="center"/>
            <w:shd w:fill="F8FAFB"/>
            <w:tcMar>
              <w:top w:w="90" w:type="dxa"/>
              <w:start w:w="120" w:type="dxa"/>
              <w:bottom w:w="90" w:type="dxa"/>
              <w:end w:w="120" w:type="dxa"/>
            </w:tcMar>
          </w:tcPr>
          <w:p>
            <w:pPr>
              <w:spacing w:after="0" w:line="245" w:lineRule="auto"/>
            </w:pPr>
            <w:r>
              <w:rPr>
                <w:rFonts w:ascii="Aptos" w:hAnsi="Aptos"/>
                <w:b/>
                <w:color w:val="17212B"/>
                <w:sz w:val="17"/>
              </w:rPr>
              <w:t>Long free-form message history</w:t>
            </w:r>
          </w:p>
        </w:tc>
        <w:tc>
          <w:tcPr>
            <w:tcW w:type="dxa" w:w="3096"/>
            <w:vAlign w:val="center"/>
            <w:shd w:fill="F8FAFB"/>
            <w:tcMar>
              <w:top w:w="90" w:type="dxa"/>
              <w:start w:w="120" w:type="dxa"/>
              <w:bottom w:w="90" w:type="dxa"/>
              <w:end w:w="120" w:type="dxa"/>
            </w:tcMar>
          </w:tcPr>
          <w:p>
            <w:pPr>
              <w:spacing w:after="0" w:line="245" w:lineRule="auto"/>
            </w:pPr>
            <w:r>
              <w:rPr>
                <w:rFonts w:ascii="Aptos" w:hAnsi="Aptos"/>
                <w:b w:val="0"/>
                <w:color w:val="17212B"/>
                <w:sz w:val="17"/>
              </w:rPr>
              <w:t>Agents re-read; continuity depends on memory</w:t>
            </w:r>
          </w:p>
        </w:tc>
        <w:tc>
          <w:tcPr>
            <w:tcW w:type="dxa" w:w="3888"/>
            <w:vAlign w:val="center"/>
            <w:shd w:fill="F8FAFB"/>
            <w:tcMar>
              <w:top w:w="90" w:type="dxa"/>
              <w:start w:w="120" w:type="dxa"/>
              <w:bottom w:w="90" w:type="dxa"/>
              <w:end w:w="120" w:type="dxa"/>
            </w:tcMar>
          </w:tcPr>
          <w:p>
            <w:pPr>
              <w:spacing w:after="0" w:line="245" w:lineRule="auto"/>
            </w:pPr>
            <w:r>
              <w:rPr>
                <w:rFonts w:ascii="Aptos" w:hAnsi="Aptos"/>
                <w:b w:val="0"/>
                <w:color w:val="17212B"/>
                <w:sz w:val="17"/>
              </w:rPr>
              <w:t>Five-second Continuity Brief with evidence links and refresh state</w:t>
            </w:r>
          </w:p>
        </w:tc>
      </w:tr>
      <w:tr>
        <w:trPr>
          <w:cantSplit/>
        </w:trPr>
        <w:tc>
          <w:tcPr>
            <w:tcW w:type="dxa" w:w="2376"/>
            <w:vAlign w:val="center"/>
            <w:tcMar>
              <w:top w:w="90" w:type="dxa"/>
              <w:start w:w="120" w:type="dxa"/>
              <w:bottom w:w="90" w:type="dxa"/>
              <w:end w:w="120" w:type="dxa"/>
            </w:tcMar>
          </w:tcPr>
          <w:p>
            <w:pPr>
              <w:spacing w:after="0" w:line="245" w:lineRule="auto"/>
            </w:pPr>
            <w:r>
              <w:rPr>
                <w:rFonts w:ascii="Aptos" w:hAnsi="Aptos"/>
                <w:b/>
                <w:color w:val="17212B"/>
                <w:sz w:val="17"/>
              </w:rPr>
              <w:t>Right rail is notes/orders</w:t>
            </w:r>
          </w:p>
        </w:tc>
        <w:tc>
          <w:tcPr>
            <w:tcW w:type="dxa" w:w="3096"/>
            <w:vAlign w:val="center"/>
            <w:tcMar>
              <w:top w:w="90" w:type="dxa"/>
              <w:start w:w="120" w:type="dxa"/>
              <w:bottom w:w="90" w:type="dxa"/>
              <w:end w:w="120" w:type="dxa"/>
            </w:tcMar>
          </w:tcPr>
          <w:p>
            <w:pPr>
              <w:spacing w:after="0" w:line="245" w:lineRule="auto"/>
            </w:pPr>
            <w:r>
              <w:rPr>
                <w:rFonts w:ascii="Aptos" w:hAnsi="Aptos"/>
                <w:b w:val="0"/>
                <w:color w:val="17212B"/>
                <w:sz w:val="17"/>
              </w:rPr>
              <w:t>No care relationship, consent or clinical escalation context</w:t>
            </w:r>
          </w:p>
        </w:tc>
        <w:tc>
          <w:tcPr>
            <w:tcW w:type="dxa" w:w="3888"/>
            <w:vAlign w:val="center"/>
            <w:tcMar>
              <w:top w:w="90" w:type="dxa"/>
              <w:start w:w="120" w:type="dxa"/>
              <w:bottom w:w="90" w:type="dxa"/>
              <w:end w:w="120" w:type="dxa"/>
            </w:tcMar>
          </w:tcPr>
          <w:p>
            <w:pPr>
              <w:spacing w:after="0" w:line="245" w:lineRule="auto"/>
            </w:pPr>
            <w:r>
              <w:rPr>
                <w:rFonts w:ascii="Aptos" w:hAnsi="Aptos"/>
                <w:b w:val="0"/>
                <w:color w:val="17212B"/>
                <w:sz w:val="17"/>
              </w:rPr>
              <w:t>Patient/caller relationship card, booking timeline, consent and safety panel</w:t>
            </w:r>
          </w:p>
        </w:tc>
      </w:tr>
      <w:tr>
        <w:trPr>
          <w:cantSplit/>
        </w:trPr>
        <w:tc>
          <w:tcPr>
            <w:tcW w:type="dxa" w:w="2376"/>
            <w:vAlign w:val="center"/>
            <w:shd w:fill="F8FAFB"/>
            <w:tcMar>
              <w:top w:w="90" w:type="dxa"/>
              <w:start w:w="120" w:type="dxa"/>
              <w:bottom w:w="90" w:type="dxa"/>
              <w:end w:w="120" w:type="dxa"/>
            </w:tcMar>
          </w:tcPr>
          <w:p>
            <w:pPr>
              <w:spacing w:after="0" w:line="245" w:lineRule="auto"/>
            </w:pPr>
            <w:r>
              <w:rPr>
                <w:rFonts w:ascii="Aptos" w:hAnsi="Aptos"/>
                <w:b/>
                <w:color w:val="17212B"/>
                <w:sz w:val="17"/>
              </w:rPr>
              <w:t>Flat tags across composer</w:t>
            </w:r>
          </w:p>
        </w:tc>
        <w:tc>
          <w:tcPr>
            <w:tcW w:type="dxa" w:w="3096"/>
            <w:vAlign w:val="center"/>
            <w:shd w:fill="F8FAFB"/>
            <w:tcMar>
              <w:top w:w="90" w:type="dxa"/>
              <w:start w:w="120" w:type="dxa"/>
              <w:bottom w:w="90" w:type="dxa"/>
              <w:end w:w="120" w:type="dxa"/>
            </w:tcMar>
          </w:tcPr>
          <w:p>
            <w:pPr>
              <w:spacing w:after="0" w:line="245" w:lineRule="auto"/>
            </w:pPr>
            <w:r>
              <w:rPr>
                <w:rFonts w:ascii="Aptos" w:hAnsi="Aptos"/>
                <w:b w:val="0"/>
                <w:color w:val="17212B"/>
                <w:sz w:val="17"/>
              </w:rPr>
              <w:t>Tag sprawl; inconsistent outcomes</w:t>
            </w:r>
          </w:p>
        </w:tc>
        <w:tc>
          <w:tcPr>
            <w:tcW w:type="dxa" w:w="3888"/>
            <w:vAlign w:val="center"/>
            <w:shd w:fill="F8FAFB"/>
            <w:tcMar>
              <w:top w:w="90" w:type="dxa"/>
              <w:start w:w="120" w:type="dxa"/>
              <w:bottom w:w="90" w:type="dxa"/>
              <w:end w:w="120" w:type="dxa"/>
            </w:tcMar>
          </w:tcPr>
          <w:p>
            <w:pPr>
              <w:spacing w:after="0" w:line="245" w:lineRule="auto"/>
            </w:pPr>
            <w:r>
              <w:rPr>
                <w:rFonts w:ascii="Aptos" w:hAnsi="Aptos"/>
                <w:b w:val="0"/>
                <w:color w:val="17212B"/>
                <w:sz w:val="17"/>
              </w:rPr>
              <w:t>Structured outcome, intent, risk, commitment and next-action controls</w:t>
            </w:r>
          </w:p>
        </w:tc>
      </w:tr>
      <w:tr>
        <w:trPr>
          <w:cantSplit/>
        </w:trPr>
        <w:tc>
          <w:tcPr>
            <w:tcW w:type="dxa" w:w="2376"/>
            <w:vAlign w:val="center"/>
            <w:tcMar>
              <w:top w:w="90" w:type="dxa"/>
              <w:start w:w="120" w:type="dxa"/>
              <w:bottom w:w="90" w:type="dxa"/>
              <w:end w:w="120" w:type="dxa"/>
            </w:tcMar>
          </w:tcPr>
          <w:p>
            <w:pPr>
              <w:spacing w:after="0" w:line="245" w:lineRule="auto"/>
            </w:pPr>
            <w:r>
              <w:rPr>
                <w:rFonts w:ascii="Aptos" w:hAnsi="Aptos"/>
                <w:b/>
                <w:color w:val="17212B"/>
                <w:sz w:val="17"/>
              </w:rPr>
              <w:t>Routing as a settings form</w:t>
            </w:r>
          </w:p>
        </w:tc>
        <w:tc>
          <w:tcPr>
            <w:tcW w:type="dxa" w:w="3096"/>
            <w:vAlign w:val="center"/>
            <w:tcMar>
              <w:top w:w="90" w:type="dxa"/>
              <w:start w:w="120" w:type="dxa"/>
              <w:bottom w:w="90" w:type="dxa"/>
              <w:end w:w="120" w:type="dxa"/>
            </w:tcMar>
          </w:tcPr>
          <w:p>
            <w:pPr>
              <w:spacing w:after="0" w:line="245" w:lineRule="auto"/>
            </w:pPr>
            <w:r>
              <w:rPr>
                <w:rFonts w:ascii="Aptos" w:hAnsi="Aptos"/>
                <w:b w:val="0"/>
                <w:color w:val="17212B"/>
                <w:sz w:val="17"/>
              </w:rPr>
              <w:t>Difficult to predict impact or detect conflicts</w:t>
            </w:r>
          </w:p>
        </w:tc>
        <w:tc>
          <w:tcPr>
            <w:tcW w:type="dxa" w:w="3888"/>
            <w:vAlign w:val="center"/>
            <w:tcMar>
              <w:top w:w="90" w:type="dxa"/>
              <w:start w:w="120" w:type="dxa"/>
              <w:bottom w:w="90" w:type="dxa"/>
              <w:end w:w="120" w:type="dxa"/>
            </w:tcMar>
          </w:tcPr>
          <w:p>
            <w:pPr>
              <w:spacing w:after="0" w:line="245" w:lineRule="auto"/>
            </w:pPr>
            <w:r>
              <w:rPr>
                <w:rFonts w:ascii="Aptos" w:hAnsi="Aptos"/>
                <w:b w:val="0"/>
                <w:color w:val="17212B"/>
                <w:sz w:val="17"/>
              </w:rPr>
              <w:t>Visual policy builder, simulation, versioning, explain-why and rollback</w:t>
            </w:r>
          </w:p>
        </w:tc>
      </w:tr>
      <w:tr>
        <w:trPr>
          <w:cantSplit/>
        </w:trPr>
        <w:tc>
          <w:tcPr>
            <w:tcW w:type="dxa" w:w="2376"/>
            <w:vAlign w:val="center"/>
            <w:shd w:fill="F8FAFB"/>
            <w:tcMar>
              <w:top w:w="90" w:type="dxa"/>
              <w:start w:w="120" w:type="dxa"/>
              <w:bottom w:w="90" w:type="dxa"/>
              <w:end w:w="120" w:type="dxa"/>
            </w:tcMar>
          </w:tcPr>
          <w:p>
            <w:pPr>
              <w:spacing w:after="0" w:line="245" w:lineRule="auto"/>
            </w:pPr>
            <w:r>
              <w:rPr>
                <w:rFonts w:ascii="Aptos" w:hAnsi="Aptos"/>
                <w:b/>
                <w:color w:val="17212B"/>
                <w:sz w:val="17"/>
              </w:rPr>
              <w:t>Round robin dominates</w:t>
            </w:r>
          </w:p>
        </w:tc>
        <w:tc>
          <w:tcPr>
            <w:tcW w:type="dxa" w:w="3096"/>
            <w:vAlign w:val="center"/>
            <w:shd w:fill="F8FAFB"/>
            <w:tcMar>
              <w:top w:w="90" w:type="dxa"/>
              <w:start w:w="120" w:type="dxa"/>
              <w:bottom w:w="90" w:type="dxa"/>
              <w:end w:w="120" w:type="dxa"/>
            </w:tcMar>
          </w:tcPr>
          <w:p>
            <w:pPr>
              <w:spacing w:after="0" w:line="245" w:lineRule="auto"/>
            </w:pPr>
            <w:r>
              <w:rPr>
                <w:rFonts w:ascii="Aptos" w:hAnsi="Aptos"/>
                <w:b w:val="0"/>
                <w:color w:val="17212B"/>
                <w:sz w:val="17"/>
              </w:rPr>
              <w:t>Fairness can conflict with skill, continuity or urgency</w:t>
            </w:r>
          </w:p>
        </w:tc>
        <w:tc>
          <w:tcPr>
            <w:tcW w:type="dxa" w:w="3888"/>
            <w:vAlign w:val="center"/>
            <w:shd w:fill="F8FAFB"/>
            <w:tcMar>
              <w:top w:w="90" w:type="dxa"/>
              <w:start w:w="120" w:type="dxa"/>
              <w:bottom w:w="90" w:type="dxa"/>
              <w:end w:w="120" w:type="dxa"/>
            </w:tcMar>
          </w:tcPr>
          <w:p>
            <w:pPr>
              <w:spacing w:after="0" w:line="245" w:lineRule="auto"/>
            </w:pPr>
            <w:r>
              <w:rPr>
                <w:rFonts w:ascii="Aptos" w:hAnsi="Aptos"/>
                <w:b w:val="0"/>
                <w:color w:val="17212B"/>
                <w:sz w:val="17"/>
              </w:rPr>
              <w:t>Constraint-first scoring: safety &gt; skill &gt; continuity &gt; SLA &gt; workload</w:t>
            </w:r>
          </w:p>
        </w:tc>
      </w:tr>
      <w:tr>
        <w:trPr>
          <w:cantSplit/>
        </w:trPr>
        <w:tc>
          <w:tcPr>
            <w:tcW w:type="dxa" w:w="2376"/>
            <w:vAlign w:val="center"/>
            <w:tcMar>
              <w:top w:w="90" w:type="dxa"/>
              <w:start w:w="120" w:type="dxa"/>
              <w:bottom w:w="90" w:type="dxa"/>
              <w:end w:w="120" w:type="dxa"/>
            </w:tcMar>
          </w:tcPr>
          <w:p>
            <w:pPr>
              <w:spacing w:after="0" w:line="245" w:lineRule="auto"/>
            </w:pPr>
            <w:r>
              <w:rPr>
                <w:rFonts w:ascii="Aptos" w:hAnsi="Aptos"/>
                <w:b/>
                <w:color w:val="17212B"/>
                <w:sz w:val="17"/>
              </w:rPr>
              <w:t>Multiple page/account colour indicators</w:t>
            </w:r>
          </w:p>
        </w:tc>
        <w:tc>
          <w:tcPr>
            <w:tcW w:type="dxa" w:w="3096"/>
            <w:vAlign w:val="center"/>
            <w:tcMar>
              <w:top w:w="90" w:type="dxa"/>
              <w:start w:w="120" w:type="dxa"/>
              <w:bottom w:w="90" w:type="dxa"/>
              <w:end w:w="120" w:type="dxa"/>
            </w:tcMar>
          </w:tcPr>
          <w:p>
            <w:pPr>
              <w:spacing w:after="0" w:line="245" w:lineRule="auto"/>
            </w:pPr>
            <w:r>
              <w:rPr>
                <w:rFonts w:ascii="Aptos" w:hAnsi="Aptos"/>
                <w:b w:val="0"/>
                <w:color w:val="17212B"/>
                <w:sz w:val="17"/>
              </w:rPr>
              <w:t>Colour alone is inaccessible and can become arbitrary</w:t>
            </w:r>
          </w:p>
        </w:tc>
        <w:tc>
          <w:tcPr>
            <w:tcW w:type="dxa" w:w="3888"/>
            <w:vAlign w:val="center"/>
            <w:tcMar>
              <w:top w:w="90" w:type="dxa"/>
              <w:start w:w="120" w:type="dxa"/>
              <w:bottom w:w="90" w:type="dxa"/>
              <w:end w:w="120" w:type="dxa"/>
            </w:tcMar>
          </w:tcPr>
          <w:p>
            <w:pPr>
              <w:spacing w:after="0" w:line="245" w:lineRule="auto"/>
            </w:pPr>
            <w:r>
              <w:rPr>
                <w:rFonts w:ascii="Aptos" w:hAnsi="Aptos"/>
                <w:b w:val="0"/>
                <w:color w:val="17212B"/>
                <w:sz w:val="17"/>
              </w:rPr>
              <w:t>Icon + label + brand accent; never use colour as sole signal</w:t>
            </w:r>
          </w:p>
        </w:tc>
      </w:tr>
      <w:tr>
        <w:trPr>
          <w:cantSplit/>
        </w:trPr>
        <w:tc>
          <w:tcPr>
            <w:tcW w:type="dxa" w:w="2376"/>
            <w:vAlign w:val="center"/>
            <w:shd w:fill="F8FAFB"/>
            <w:tcMar>
              <w:top w:w="90" w:type="dxa"/>
              <w:start w:w="120" w:type="dxa"/>
              <w:bottom w:w="90" w:type="dxa"/>
              <w:end w:w="120" w:type="dxa"/>
            </w:tcMar>
          </w:tcPr>
          <w:p>
            <w:pPr>
              <w:spacing w:after="0" w:line="245" w:lineRule="auto"/>
            </w:pPr>
            <w:r>
              <w:rPr>
                <w:rFonts w:ascii="Aptos" w:hAnsi="Aptos"/>
                <w:b/>
                <w:color w:val="17212B"/>
                <w:sz w:val="17"/>
              </w:rPr>
              <w:t>No visible AI provenance or clinical safety</w:t>
            </w:r>
          </w:p>
        </w:tc>
        <w:tc>
          <w:tcPr>
            <w:tcW w:type="dxa" w:w="3096"/>
            <w:vAlign w:val="center"/>
            <w:shd w:fill="F8FAFB"/>
            <w:tcMar>
              <w:top w:w="90" w:type="dxa"/>
              <w:start w:w="120" w:type="dxa"/>
              <w:bottom w:w="90" w:type="dxa"/>
              <w:end w:w="120" w:type="dxa"/>
            </w:tcMar>
          </w:tcPr>
          <w:p>
            <w:pPr>
              <w:spacing w:after="0" w:line="245" w:lineRule="auto"/>
            </w:pPr>
            <w:r>
              <w:rPr>
                <w:rFonts w:ascii="Aptos" w:hAnsi="Aptos"/>
                <w:b w:val="0"/>
                <w:color w:val="17212B"/>
                <w:sz w:val="17"/>
              </w:rPr>
              <w:t>Automation could appear authoritative</w:t>
            </w:r>
          </w:p>
        </w:tc>
        <w:tc>
          <w:tcPr>
            <w:tcW w:type="dxa" w:w="3888"/>
            <w:vAlign w:val="center"/>
            <w:shd w:fill="F8FAFB"/>
            <w:tcMar>
              <w:top w:w="90" w:type="dxa"/>
              <w:start w:w="120" w:type="dxa"/>
              <w:bottom w:w="90" w:type="dxa"/>
              <w:end w:w="120" w:type="dxa"/>
            </w:tcMar>
          </w:tcPr>
          <w:p>
            <w:pPr>
              <w:spacing w:after="0" w:line="245" w:lineRule="auto"/>
            </w:pPr>
            <w:r>
              <w:rPr>
                <w:rFonts w:ascii="Aptos" w:hAnsi="Aptos"/>
                <w:b w:val="0"/>
                <w:color w:val="17212B"/>
                <w:sz w:val="17"/>
              </w:rPr>
              <w:t>Source-grounded AI, confidence, review controls and prohibited-action policy</w:t>
            </w:r>
          </w:p>
        </w:tc>
      </w:tr>
    </w:tbl>
    <w:p>
      <w:pPr>
        <w:spacing w:after="20"/>
      </w:pPr>
    </w:p>
    <w:p>
      <w:r>
        <w:drawing>
          <wp:inline xmlns:a="http://schemas.openxmlformats.org/drawingml/2006/main" xmlns:pic="http://schemas.openxmlformats.org/drawingml/2006/picture">
            <wp:extent cx="6035040" cy="3829839"/>
            <wp:docPr id="2" name="Picture 2" title="Pancake round-robin routing configuration" descr="Supplied Pancake screenshot showing round-robin assignment options, online-status and timed-reassignment controls, and per-page agent allocation lists."/>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6035040" cy="3829839"/>
                    </a:xfrm>
                    <a:prstGeom prst="rect"/>
                  </pic:spPr>
                </pic:pic>
              </a:graphicData>
            </a:graphic>
          </wp:inline>
        </w:drawing>
      </w:r>
    </w:p>
    <w:p>
      <w:pPr>
        <w:spacing w:before="60" w:after="160"/>
        <w:jc w:val="center"/>
      </w:pPr>
      <w:r>
        <w:rPr>
          <w:rFonts w:ascii="Aptos" w:hAnsi="Aptos"/>
          <w:b w:val="0"/>
          <w:i/>
          <w:color w:val="5F6B76"/>
          <w:sz w:val="17"/>
        </w:rPr>
        <w:t>Figure 2. Supplied Pancake routing configuration (P): rich controls, but limited hierarchy, simulation and policy explanation.</w:t>
      </w:r>
    </w:p>
    <w:p>
      <w:pPr>
        <w:sectPr>
          <w:headerReference w:type="default" r:id="rId9"/>
          <w:footerReference w:type="default" r:id="rId10"/>
          <w:pgSz w:w="12240" w:h="15840"/>
          <w:pgMar w:top="1152" w:right="1181" w:bottom="1123" w:left="1181" w:header="504" w:footer="504" w:gutter="0"/>
          <w:cols w:space="720"/>
          <w:docGrid w:linePitch="360"/>
        </w:sectPr>
      </w:pPr>
    </w:p>
    <w:p>
      <w:pPr>
        <w:pStyle w:val="Heading1"/>
      </w:pPr>
      <w:r>
        <w:t>4. Cited competitor matrix</w:t>
      </w:r>
    </w:p>
    <w:p>
      <w:r>
        <w:rPr>
          <w:rFonts w:ascii="Aptos" w:hAnsi="Aptos"/>
          <w:color w:val="17212B"/>
        </w:rPr>
        <w:t>Compact findings below are product-level, not a procurement score. “Voice” distinguishes native/in-workspace capability from partner integration. Healthcare posture is verified only where the reviewed official source makes a specific statement; otherwise it is marked NV.</w:t>
      </w:r>
    </w:p>
    <w:tbl>
      <w:tblPr>
        <w:tblW w:type="dxa" w:w="14256"/>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1180"/>
        <w:gridCol w:w="2116"/>
        <w:gridCol w:w="1555"/>
        <w:gridCol w:w="1843"/>
        <w:gridCol w:w="2534"/>
        <w:gridCol w:w="2347"/>
        <w:gridCol w:w="2678"/>
      </w:tblGrid>
      <w:tr>
        <w:trPr>
          <w:tblHeader w:val="true"/>
          <w:cantSplit/>
        </w:trPr>
        <w:tc>
          <w:tcPr>
            <w:tcW w:type="dxa" w:w="1180"/>
            <w:shd w:fill="0B2545"/>
            <w:vAlign w:val="center"/>
            <w:tcMar>
              <w:top w:w="90" w:type="dxa"/>
              <w:start w:w="120" w:type="dxa"/>
              <w:bottom w:w="90" w:type="dxa"/>
              <w:end w:w="120" w:type="dxa"/>
            </w:tcMar>
          </w:tcPr>
          <w:p>
            <w:pPr>
              <w:spacing w:after="0"/>
              <w:jc w:val="left"/>
            </w:pPr>
            <w:r>
              <w:rPr>
                <w:rFonts w:ascii="Aptos" w:hAnsi="Aptos"/>
                <w:b/>
                <w:color w:val="FFFFFF"/>
                <w:sz w:val="14"/>
              </w:rPr>
              <w:t>Product</w:t>
            </w:r>
          </w:p>
        </w:tc>
        <w:tc>
          <w:tcPr>
            <w:tcW w:type="dxa" w:w="2116"/>
            <w:shd w:fill="0B2545"/>
            <w:vAlign w:val="center"/>
            <w:tcMar>
              <w:top w:w="90" w:type="dxa"/>
              <w:start w:w="120" w:type="dxa"/>
              <w:bottom w:w="90" w:type="dxa"/>
              <w:end w:w="120" w:type="dxa"/>
            </w:tcMar>
          </w:tcPr>
          <w:p>
            <w:pPr>
              <w:spacing w:after="0"/>
              <w:jc w:val="left"/>
            </w:pPr>
            <w:r>
              <w:rPr>
                <w:rFonts w:ascii="Aptos" w:hAnsi="Aptos"/>
                <w:b/>
                <w:color w:val="FFFFFF"/>
                <w:sz w:val="14"/>
              </w:rPr>
              <w:t>Workspace / channels</w:t>
            </w:r>
          </w:p>
        </w:tc>
        <w:tc>
          <w:tcPr>
            <w:tcW w:type="dxa" w:w="1555"/>
            <w:shd w:fill="0B2545"/>
            <w:vAlign w:val="center"/>
            <w:tcMar>
              <w:top w:w="90" w:type="dxa"/>
              <w:start w:w="120" w:type="dxa"/>
              <w:bottom w:w="90" w:type="dxa"/>
              <w:end w:w="120" w:type="dxa"/>
            </w:tcMar>
          </w:tcPr>
          <w:p>
            <w:pPr>
              <w:spacing w:after="0"/>
              <w:jc w:val="left"/>
            </w:pPr>
            <w:r>
              <w:rPr>
                <w:rFonts w:ascii="Aptos" w:hAnsi="Aptos"/>
                <w:b/>
                <w:color w:val="FFFFFF"/>
                <w:sz w:val="14"/>
              </w:rPr>
              <w:t>Voice</w:t>
            </w:r>
          </w:p>
        </w:tc>
        <w:tc>
          <w:tcPr>
            <w:tcW w:type="dxa" w:w="1843"/>
            <w:shd w:fill="0B2545"/>
            <w:vAlign w:val="center"/>
            <w:tcMar>
              <w:top w:w="90" w:type="dxa"/>
              <w:start w:w="120" w:type="dxa"/>
              <w:bottom w:w="90" w:type="dxa"/>
              <w:end w:w="120" w:type="dxa"/>
            </w:tcMar>
          </w:tcPr>
          <w:p>
            <w:pPr>
              <w:spacing w:after="0"/>
              <w:jc w:val="left"/>
            </w:pPr>
            <w:r>
              <w:rPr>
                <w:rFonts w:ascii="Aptos" w:hAnsi="Aptos"/>
                <w:b/>
                <w:color w:val="FFFFFF"/>
                <w:sz w:val="14"/>
              </w:rPr>
              <w:t>Routing</w:t>
            </w:r>
          </w:p>
        </w:tc>
        <w:tc>
          <w:tcPr>
            <w:tcW w:type="dxa" w:w="2534"/>
            <w:shd w:fill="0B2545"/>
            <w:vAlign w:val="center"/>
            <w:tcMar>
              <w:top w:w="90" w:type="dxa"/>
              <w:start w:w="120" w:type="dxa"/>
              <w:bottom w:w="90" w:type="dxa"/>
              <w:end w:w="120" w:type="dxa"/>
            </w:tcMar>
          </w:tcPr>
          <w:p>
            <w:pPr>
              <w:spacing w:after="0"/>
              <w:jc w:val="left"/>
            </w:pPr>
            <w:r>
              <w:rPr>
                <w:rFonts w:ascii="Aptos" w:hAnsi="Aptos"/>
                <w:b/>
                <w:color w:val="FFFFFF"/>
                <w:sz w:val="14"/>
              </w:rPr>
              <w:t>Identity + AI</w:t>
            </w:r>
          </w:p>
        </w:tc>
        <w:tc>
          <w:tcPr>
            <w:tcW w:type="dxa" w:w="2347"/>
            <w:shd w:fill="0B2545"/>
            <w:vAlign w:val="center"/>
            <w:tcMar>
              <w:top w:w="90" w:type="dxa"/>
              <w:start w:w="120" w:type="dxa"/>
              <w:bottom w:w="90" w:type="dxa"/>
              <w:end w:w="120" w:type="dxa"/>
            </w:tcMar>
          </w:tcPr>
          <w:p>
            <w:pPr>
              <w:spacing w:after="0"/>
              <w:jc w:val="left"/>
            </w:pPr>
            <w:r>
              <w:rPr>
                <w:rFonts w:ascii="Aptos" w:hAnsi="Aptos"/>
                <w:b/>
                <w:color w:val="FFFFFF"/>
                <w:sz w:val="14"/>
              </w:rPr>
              <w:t>Supervisor + health</w:t>
            </w:r>
          </w:p>
        </w:tc>
        <w:tc>
          <w:tcPr>
            <w:tcW w:type="dxa" w:w="2678"/>
            <w:shd w:fill="0B2545"/>
            <w:vAlign w:val="center"/>
            <w:tcMar>
              <w:top w:w="90" w:type="dxa"/>
              <w:start w:w="120" w:type="dxa"/>
              <w:bottom w:w="90" w:type="dxa"/>
              <w:end w:w="120" w:type="dxa"/>
            </w:tcMar>
          </w:tcPr>
          <w:p>
            <w:pPr>
              <w:spacing w:after="0"/>
              <w:jc w:val="left"/>
            </w:pPr>
            <w:r>
              <w:rPr>
                <w:rFonts w:ascii="Aptos" w:hAnsi="Aptos"/>
                <w:b/>
                <w:color w:val="FFFFFF"/>
                <w:sz w:val="14"/>
              </w:rPr>
              <w:t>Health19 takeaway / sources</w:t>
            </w:r>
          </w:p>
        </w:tc>
      </w:tr>
      <w:tr>
        <w:trPr>
          <w:cantSplit/>
        </w:trPr>
        <w:tc>
          <w:tcPr>
            <w:tcW w:type="dxa" w:w="1180"/>
            <w:vAlign w:val="center"/>
            <w:tcMar>
              <w:top w:w="90" w:type="dxa"/>
              <w:start w:w="120" w:type="dxa"/>
              <w:bottom w:w="90" w:type="dxa"/>
              <w:end w:w="120" w:type="dxa"/>
            </w:tcMar>
          </w:tcPr>
          <w:p>
            <w:pPr>
              <w:spacing w:after="0" w:line="245" w:lineRule="auto"/>
            </w:pPr>
            <w:r>
              <w:rPr>
                <w:rFonts w:ascii="Aptos" w:hAnsi="Aptos"/>
                <w:b/>
                <w:color w:val="17212B"/>
                <w:sz w:val="14"/>
              </w:rPr>
              <w:t>Pancake</w:t>
            </w:r>
          </w:p>
        </w:tc>
        <w:tc>
          <w:tcPr>
            <w:tcW w:type="dxa" w:w="2116"/>
            <w:vAlign w:val="center"/>
            <w:tcMar>
              <w:top w:w="90" w:type="dxa"/>
              <w:start w:w="120" w:type="dxa"/>
              <w:bottom w:w="90" w:type="dxa"/>
              <w:end w:w="120" w:type="dxa"/>
            </w:tcMar>
          </w:tcPr>
          <w:p>
            <w:pPr>
              <w:spacing w:after="0" w:line="245" w:lineRule="auto"/>
            </w:pPr>
            <w:r>
              <w:rPr>
                <w:rFonts w:ascii="Aptos" w:hAnsi="Aptos"/>
                <w:b w:val="0"/>
                <w:color w:val="17212B"/>
                <w:sz w:val="14"/>
              </w:rPr>
              <w:t>V unified messaging; Facebook, Instagram, WhatsApp, TikTok; CRM adds Zalo sync. P three-pane inbox.</w:t>
            </w:r>
          </w:p>
        </w:tc>
        <w:tc>
          <w:tcPr>
            <w:tcW w:type="dxa" w:w="1555"/>
            <w:vAlign w:val="center"/>
            <w:tcMar>
              <w:top w:w="90" w:type="dxa"/>
              <w:start w:w="120" w:type="dxa"/>
              <w:bottom w:w="90" w:type="dxa"/>
              <w:end w:w="120" w:type="dxa"/>
            </w:tcMar>
          </w:tcPr>
          <w:p>
            <w:pPr>
              <w:spacing w:after="0" w:line="245" w:lineRule="auto"/>
            </w:pPr>
            <w:r>
              <w:rPr>
                <w:rFonts w:ascii="Aptos" w:hAnsi="Aptos"/>
                <w:b w:val="0"/>
                <w:color w:val="17212B"/>
                <w:sz w:val="14"/>
              </w:rPr>
              <w:t>V POS call recording/scheduling; screenshots do not show in-thread voice.</w:t>
            </w:r>
          </w:p>
        </w:tc>
        <w:tc>
          <w:tcPr>
            <w:tcW w:type="dxa" w:w="1843"/>
            <w:vAlign w:val="center"/>
            <w:tcMar>
              <w:top w:w="90" w:type="dxa"/>
              <w:start w:w="120" w:type="dxa"/>
              <w:bottom w:w="90" w:type="dxa"/>
              <w:end w:w="120" w:type="dxa"/>
            </w:tcMar>
          </w:tcPr>
          <w:p>
            <w:pPr>
              <w:spacing w:after="0" w:line="245" w:lineRule="auto"/>
            </w:pPr>
            <w:r>
              <w:rPr>
                <w:rFonts w:ascii="Aptos" w:hAnsi="Aptos"/>
                <w:b w:val="0"/>
                <w:color w:val="17212B"/>
                <w:sz w:val="14"/>
              </w:rPr>
              <w:t>P round robin, online status, timed reassignment; V CRM workflows.</w:t>
            </w:r>
          </w:p>
        </w:tc>
        <w:tc>
          <w:tcPr>
            <w:tcW w:type="dxa" w:w="2534"/>
            <w:vAlign w:val="center"/>
            <w:tcMar>
              <w:top w:w="90" w:type="dxa"/>
              <w:start w:w="120" w:type="dxa"/>
              <w:bottom w:w="90" w:type="dxa"/>
              <w:end w:w="120" w:type="dxa"/>
            </w:tcMar>
          </w:tcPr>
          <w:p>
            <w:pPr>
              <w:spacing w:after="0" w:line="245" w:lineRule="auto"/>
            </w:pPr>
            <w:r>
              <w:rPr>
                <w:rFonts w:ascii="Aptos" w:hAnsi="Aptos"/>
                <w:b w:val="0"/>
                <w:color w:val="17212B"/>
                <w:sz w:val="14"/>
              </w:rPr>
              <w:t>V/P central lead/contact data; AI chatbot marketed. Deep identity and agent copilot NV.</w:t>
            </w:r>
          </w:p>
        </w:tc>
        <w:tc>
          <w:tcPr>
            <w:tcW w:type="dxa" w:w="2347"/>
            <w:vAlign w:val="center"/>
            <w:tcMar>
              <w:top w:w="90" w:type="dxa"/>
              <w:start w:w="120" w:type="dxa"/>
              <w:bottom w:w="90" w:type="dxa"/>
              <w:end w:w="120" w:type="dxa"/>
            </w:tcMar>
          </w:tcPr>
          <w:p>
            <w:pPr>
              <w:spacing w:after="0" w:line="245" w:lineRule="auto"/>
            </w:pPr>
            <w:r>
              <w:rPr>
                <w:rFonts w:ascii="Aptos" w:hAnsi="Aptos"/>
                <w:b w:val="0"/>
                <w:color w:val="17212B"/>
                <w:sz w:val="14"/>
              </w:rPr>
              <w:t>Manager statistics visible; healthcare claims are marketing-level, contractual privacy posture NV.</w:t>
            </w:r>
          </w:p>
        </w:tc>
        <w:tc>
          <w:tcPr>
            <w:tcW w:type="dxa" w:w="2678"/>
            <w:vAlign w:val="center"/>
            <w:tcMar>
              <w:top w:w="90" w:type="dxa"/>
              <w:start w:w="120" w:type="dxa"/>
              <w:bottom w:w="90" w:type="dxa"/>
              <w:end w:w="120" w:type="dxa"/>
            </w:tcMar>
          </w:tcPr>
          <w:p>
            <w:pPr>
              <w:spacing w:after="0" w:line="245" w:lineRule="auto"/>
            </w:pPr>
            <w:r>
              <w:rPr>
                <w:rFonts w:ascii="Aptos" w:hAnsi="Aptos"/>
                <w:b w:val="0"/>
                <w:color w:val="17212B"/>
                <w:sz w:val="14"/>
              </w:rPr>
              <w:t>Best for social commerce; weak healthcare context. [S01–S03]</w:t>
            </w:r>
          </w:p>
        </w:tc>
      </w:tr>
      <w:tr>
        <w:trPr>
          <w:cantSplit/>
        </w:trPr>
        <w:tc>
          <w:tcPr>
            <w:tcW w:type="dxa" w:w="1180"/>
            <w:vAlign w:val="center"/>
            <w:shd w:fill="F8FAFB"/>
            <w:tcMar>
              <w:top w:w="90" w:type="dxa"/>
              <w:start w:w="120" w:type="dxa"/>
              <w:bottom w:w="90" w:type="dxa"/>
              <w:end w:w="120" w:type="dxa"/>
            </w:tcMar>
          </w:tcPr>
          <w:p>
            <w:pPr>
              <w:spacing w:after="0" w:line="245" w:lineRule="auto"/>
            </w:pPr>
            <w:r>
              <w:rPr>
                <w:rFonts w:ascii="Aptos" w:hAnsi="Aptos"/>
                <w:b/>
                <w:color w:val="17212B"/>
                <w:sz w:val="14"/>
              </w:rPr>
              <w:t>Intercom</w:t>
            </w:r>
          </w:p>
        </w:tc>
        <w:tc>
          <w:tcPr>
            <w:tcW w:type="dxa" w:w="2116"/>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shared inbox for email, chat, phone, WhatsApp, SMS and social; configurable details/Copilot rail.</w:t>
            </w:r>
          </w:p>
        </w:tc>
        <w:tc>
          <w:tcPr>
            <w:tcW w:type="dxa" w:w="1555"/>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inbound/outbound web inbox calling; balanced call assignment.</w:t>
            </w:r>
          </w:p>
        </w:tc>
        <w:tc>
          <w:tcPr>
            <w:tcW w:type="dxa" w:w="1843"/>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team inboxes, workflows, capacity/assignment; bot inbox separates AI work.</w:t>
            </w:r>
          </w:p>
        </w:tc>
        <w:tc>
          <w:tcPr>
            <w:tcW w:type="dxa" w:w="2534"/>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IDs and contact merge rules; Copilot, compose, translate and per-thread summaries.</w:t>
            </w:r>
          </w:p>
        </w:tc>
        <w:tc>
          <w:tcPr>
            <w:tcW w:type="dxa" w:w="2347"/>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reporting and Fin analysis. HIPAA BAA on Expert; AU AI data processing caveat documented.</w:t>
            </w:r>
          </w:p>
        </w:tc>
        <w:tc>
          <w:tcPr>
            <w:tcW w:type="dxa" w:w="2678"/>
            <w:vAlign w:val="center"/>
            <w:shd w:fill="F8FAFB"/>
            <w:tcMar>
              <w:top w:w="90" w:type="dxa"/>
              <w:start w:w="120" w:type="dxa"/>
              <w:bottom w:w="90" w:type="dxa"/>
              <w:end w:w="120" w:type="dxa"/>
            </w:tcMar>
          </w:tcPr>
          <w:p>
            <w:pPr>
              <w:spacing w:after="0" w:line="245" w:lineRule="auto"/>
            </w:pPr>
            <w:r>
              <w:rPr>
                <w:rFonts w:ascii="Aptos" w:hAnsi="Aptos"/>
                <w:b w:val="0"/>
                <w:color w:val="17212B"/>
                <w:sz w:val="14"/>
              </w:rPr>
              <w:t>Best modern inbox + AI ergonomics; phone merge limits. [S04–S08]</w:t>
            </w:r>
          </w:p>
        </w:tc>
      </w:tr>
      <w:tr>
        <w:trPr>
          <w:cantSplit/>
        </w:trPr>
        <w:tc>
          <w:tcPr>
            <w:tcW w:type="dxa" w:w="1180"/>
            <w:vAlign w:val="center"/>
            <w:tcMar>
              <w:top w:w="90" w:type="dxa"/>
              <w:start w:w="120" w:type="dxa"/>
              <w:bottom w:w="90" w:type="dxa"/>
              <w:end w:w="120" w:type="dxa"/>
            </w:tcMar>
          </w:tcPr>
          <w:p>
            <w:pPr>
              <w:spacing w:after="0" w:line="245" w:lineRule="auto"/>
            </w:pPr>
            <w:r>
              <w:rPr>
                <w:rFonts w:ascii="Aptos" w:hAnsi="Aptos"/>
                <w:b/>
                <w:color w:val="17212B"/>
                <w:sz w:val="14"/>
              </w:rPr>
              <w:t>Zendesk</w:t>
            </w:r>
          </w:p>
        </w:tc>
        <w:tc>
          <w:tcPr>
            <w:tcW w:type="dxa" w:w="2116"/>
            <w:vAlign w:val="center"/>
            <w:tcMar>
              <w:top w:w="90" w:type="dxa"/>
              <w:start w:w="120" w:type="dxa"/>
              <w:bottom w:w="90" w:type="dxa"/>
              <w:end w:w="120" w:type="dxa"/>
            </w:tcMar>
          </w:tcPr>
          <w:p>
            <w:pPr>
              <w:spacing w:after="0" w:line="245" w:lineRule="auto"/>
            </w:pPr>
            <w:r>
              <w:rPr>
                <w:rFonts w:ascii="Aptos" w:hAnsi="Aptos"/>
                <w:b w:val="0"/>
                <w:color w:val="17212B"/>
                <w:sz w:val="14"/>
              </w:rPr>
              <w:t>V Agent Workspace unifies email, messaging, voice in one ticket with context/apps rail.</w:t>
            </w:r>
          </w:p>
        </w:tc>
        <w:tc>
          <w:tcPr>
            <w:tcW w:type="dxa" w:w="1555"/>
            <w:vAlign w:val="center"/>
            <w:tcMar>
              <w:top w:w="90" w:type="dxa"/>
              <w:start w:w="120" w:type="dxa"/>
              <w:bottom w:w="90" w:type="dxa"/>
              <w:end w:w="120" w:type="dxa"/>
            </w:tcMar>
          </w:tcPr>
          <w:p>
            <w:pPr>
              <w:spacing w:after="0" w:line="245" w:lineRule="auto"/>
            </w:pPr>
            <w:r>
              <w:rPr>
                <w:rFonts w:ascii="Aptos" w:hAnsi="Aptos"/>
                <w:b w:val="0"/>
                <w:color w:val="17212B"/>
                <w:sz w:val="14"/>
              </w:rPr>
              <w:t>V Talk voice; voice AI agent is EAP and explicitly not emergency triage.</w:t>
            </w:r>
          </w:p>
        </w:tc>
        <w:tc>
          <w:tcPr>
            <w:tcW w:type="dxa" w:w="1843"/>
            <w:vAlign w:val="center"/>
            <w:tcMar>
              <w:top w:w="90" w:type="dxa"/>
              <w:start w:w="120" w:type="dxa"/>
              <w:bottom w:w="90" w:type="dxa"/>
              <w:end w:w="120" w:type="dxa"/>
            </w:tcMar>
          </w:tcPr>
          <w:p>
            <w:pPr>
              <w:spacing w:after="0" w:line="245" w:lineRule="auto"/>
            </w:pPr>
            <w:r>
              <w:rPr>
                <w:rFonts w:ascii="Aptos" w:hAnsi="Aptos"/>
                <w:b w:val="0"/>
                <w:color w:val="17212B"/>
                <w:sz w:val="14"/>
              </w:rPr>
              <w:t>V capacity, SLA, priority, skill, queues, focus mode and unified presence.</w:t>
            </w:r>
          </w:p>
        </w:tc>
        <w:tc>
          <w:tcPr>
            <w:tcW w:type="dxa" w:w="2534"/>
            <w:vAlign w:val="center"/>
            <w:tcMar>
              <w:top w:w="90" w:type="dxa"/>
              <w:start w:w="120" w:type="dxa"/>
              <w:bottom w:w="90" w:type="dxa"/>
              <w:end w:w="120" w:type="dxa"/>
            </w:tcMar>
          </w:tcPr>
          <w:p>
            <w:pPr>
              <w:spacing w:after="0" w:line="245" w:lineRule="auto"/>
            </w:pPr>
            <w:r>
              <w:rPr>
                <w:rFonts w:ascii="Aptos" w:hAnsi="Aptos"/>
                <w:b w:val="0"/>
                <w:color w:val="17212B"/>
                <w:sz w:val="14"/>
              </w:rPr>
              <w:t>Customer context and custom objects; AI summary, intent and agent assist.</w:t>
            </w:r>
          </w:p>
        </w:tc>
        <w:tc>
          <w:tcPr>
            <w:tcW w:type="dxa" w:w="2347"/>
            <w:vAlign w:val="center"/>
            <w:tcMar>
              <w:top w:w="90" w:type="dxa"/>
              <w:start w:w="120" w:type="dxa"/>
              <w:bottom w:w="90" w:type="dxa"/>
              <w:end w:w="120" w:type="dxa"/>
            </w:tcMar>
          </w:tcPr>
          <w:p>
            <w:pPr>
              <w:spacing w:after="0" w:line="245" w:lineRule="auto"/>
            </w:pPr>
            <w:r>
              <w:rPr>
                <w:rFonts w:ascii="Aptos" w:hAnsi="Aptos"/>
                <w:b w:val="0"/>
                <w:color w:val="17212B"/>
                <w:sz w:val="14"/>
              </w:rPr>
              <w:t>Strong routing/supervisor ecosystem. HIPAA can be configured; Healthcare Agreement/settings required.</w:t>
            </w:r>
          </w:p>
        </w:tc>
        <w:tc>
          <w:tcPr>
            <w:tcW w:type="dxa" w:w="2678"/>
            <w:vAlign w:val="center"/>
            <w:tcMar>
              <w:top w:w="90" w:type="dxa"/>
              <w:start w:w="120" w:type="dxa"/>
              <w:bottom w:w="90" w:type="dxa"/>
              <w:end w:w="120" w:type="dxa"/>
            </w:tcMar>
          </w:tcPr>
          <w:p>
            <w:pPr>
              <w:spacing w:after="0" w:line="245" w:lineRule="auto"/>
            </w:pPr>
            <w:r>
              <w:rPr>
                <w:rFonts w:ascii="Aptos" w:hAnsi="Aptos"/>
                <w:b w:val="0"/>
                <w:color w:val="17212B"/>
                <w:sz w:val="14"/>
              </w:rPr>
              <w:t>Best ticket operations and governance; can feel case-centric. [S09–S13]</w:t>
            </w:r>
          </w:p>
        </w:tc>
      </w:tr>
      <w:tr>
        <w:trPr>
          <w:cantSplit/>
        </w:trPr>
        <w:tc>
          <w:tcPr>
            <w:tcW w:type="dxa" w:w="1180"/>
            <w:vAlign w:val="center"/>
            <w:shd w:fill="F8FAFB"/>
            <w:tcMar>
              <w:top w:w="90" w:type="dxa"/>
              <w:start w:w="120" w:type="dxa"/>
              <w:bottom w:w="90" w:type="dxa"/>
              <w:end w:w="120" w:type="dxa"/>
            </w:tcMar>
          </w:tcPr>
          <w:p>
            <w:pPr>
              <w:spacing w:after="0" w:line="245" w:lineRule="auto"/>
            </w:pPr>
            <w:r>
              <w:rPr>
                <w:rFonts w:ascii="Aptos" w:hAnsi="Aptos"/>
                <w:b/>
                <w:color w:val="17212B"/>
                <w:sz w:val="14"/>
              </w:rPr>
              <w:t>Salesforce Service / Agentforce</w:t>
            </w:r>
          </w:p>
        </w:tc>
        <w:tc>
          <w:tcPr>
            <w:tcW w:type="dxa" w:w="2116"/>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unified service console and contact center across voice, WhatsApp and digital.</w:t>
            </w:r>
          </w:p>
        </w:tc>
        <w:tc>
          <w:tcPr>
            <w:tcW w:type="dxa" w:w="1555"/>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native/partner telephony, recording/transcription and supervisor controls.</w:t>
            </w:r>
          </w:p>
        </w:tc>
        <w:tc>
          <w:tcPr>
            <w:tcW w:type="dxa" w:w="1843"/>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Omni-Channel unified routing, skills, capacity, flows, callbacks and AI agents.</w:t>
            </w:r>
          </w:p>
        </w:tc>
        <w:tc>
          <w:tcPr>
            <w:tcW w:type="dxa" w:w="2534"/>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Data 360 identity resolution and unified profiles; Agentforce plans/actions.</w:t>
            </w:r>
          </w:p>
        </w:tc>
        <w:tc>
          <w:tcPr>
            <w:tcW w:type="dxa" w:w="2347"/>
            <w:vAlign w:val="center"/>
            <w:shd w:fill="F8FAFB"/>
            <w:tcMar>
              <w:top w:w="90" w:type="dxa"/>
              <w:start w:w="120" w:type="dxa"/>
              <w:bottom w:w="90" w:type="dxa"/>
              <w:end w:w="120" w:type="dxa"/>
            </w:tcMar>
          </w:tcPr>
          <w:p>
            <w:pPr>
              <w:spacing w:after="0" w:line="245" w:lineRule="auto"/>
            </w:pPr>
            <w:r>
              <w:rPr>
                <w:rFonts w:ascii="Aptos" w:hAnsi="Aptos"/>
                <w:b w:val="0"/>
                <w:color w:val="17212B"/>
                <w:sz w:val="14"/>
              </w:rPr>
              <w:t>Enterprise command centre. HIPAA-ready features require scoped BAA/config; some features excluded.</w:t>
            </w:r>
          </w:p>
        </w:tc>
        <w:tc>
          <w:tcPr>
            <w:tcW w:type="dxa" w:w="2678"/>
            <w:vAlign w:val="center"/>
            <w:shd w:fill="F8FAFB"/>
            <w:tcMar>
              <w:top w:w="90" w:type="dxa"/>
              <w:start w:w="120" w:type="dxa"/>
              <w:bottom w:w="90" w:type="dxa"/>
              <w:end w:w="120" w:type="dxa"/>
            </w:tcMar>
          </w:tcPr>
          <w:p>
            <w:pPr>
              <w:spacing w:after="0" w:line="245" w:lineRule="auto"/>
            </w:pPr>
            <w:r>
              <w:rPr>
                <w:rFonts w:ascii="Aptos" w:hAnsi="Aptos"/>
                <w:b w:val="0"/>
                <w:color w:val="17212B"/>
                <w:sz w:val="14"/>
              </w:rPr>
              <w:t>Best CRM/data/workflow depth; highest configuration complexity. [S14–S19]</w:t>
            </w:r>
          </w:p>
        </w:tc>
      </w:tr>
      <w:tr>
        <w:trPr>
          <w:cantSplit/>
        </w:trPr>
        <w:tc>
          <w:tcPr>
            <w:tcW w:type="dxa" w:w="1180"/>
            <w:vAlign w:val="center"/>
            <w:tcMar>
              <w:top w:w="90" w:type="dxa"/>
              <w:start w:w="120" w:type="dxa"/>
              <w:bottom w:w="90" w:type="dxa"/>
              <w:end w:w="120" w:type="dxa"/>
            </w:tcMar>
          </w:tcPr>
          <w:p>
            <w:pPr>
              <w:spacing w:after="0" w:line="245" w:lineRule="auto"/>
            </w:pPr>
            <w:r>
              <w:rPr>
                <w:rFonts w:ascii="Aptos" w:hAnsi="Aptos"/>
                <w:b/>
                <w:color w:val="17212B"/>
                <w:sz w:val="14"/>
              </w:rPr>
              <w:t>Zoho Desk</w:t>
            </w:r>
          </w:p>
        </w:tc>
        <w:tc>
          <w:tcPr>
            <w:tcW w:type="dxa" w:w="2116"/>
            <w:vAlign w:val="center"/>
            <w:tcMar>
              <w:top w:w="90" w:type="dxa"/>
              <w:start w:w="120" w:type="dxa"/>
              <w:bottom w:w="90" w:type="dxa"/>
              <w:end w:w="120" w:type="dxa"/>
            </w:tcMar>
          </w:tcPr>
          <w:p>
            <w:pPr>
              <w:spacing w:after="0" w:line="245" w:lineRule="auto"/>
            </w:pPr>
            <w:r>
              <w:rPr>
                <w:rFonts w:ascii="Aptos" w:hAnsi="Aptos"/>
                <w:b w:val="0"/>
                <w:color w:val="17212B"/>
                <w:sz w:val="14"/>
              </w:rPr>
              <w:t>V unified interface across 10+ channels including telephony.</w:t>
            </w:r>
          </w:p>
        </w:tc>
        <w:tc>
          <w:tcPr>
            <w:tcW w:type="dxa" w:w="1555"/>
            <w:vAlign w:val="center"/>
            <w:tcMar>
              <w:top w:w="90" w:type="dxa"/>
              <w:start w:w="120" w:type="dxa"/>
              <w:bottom w:w="90" w:type="dxa"/>
              <w:end w:w="120" w:type="dxa"/>
            </w:tcMar>
          </w:tcPr>
          <w:p>
            <w:pPr>
              <w:spacing w:after="0" w:line="245" w:lineRule="auto"/>
            </w:pPr>
            <w:r>
              <w:rPr>
                <w:rFonts w:ascii="Aptos" w:hAnsi="Aptos"/>
                <w:b w:val="0"/>
                <w:color w:val="17212B"/>
                <w:sz w:val="14"/>
              </w:rPr>
              <w:t>V Zoho Voice/telephony available; exact bundle varies.</w:t>
            </w:r>
          </w:p>
        </w:tc>
        <w:tc>
          <w:tcPr>
            <w:tcW w:type="dxa" w:w="1843"/>
            <w:vAlign w:val="center"/>
            <w:tcMar>
              <w:top w:w="90" w:type="dxa"/>
              <w:start w:w="120" w:type="dxa"/>
              <w:bottom w:w="90" w:type="dxa"/>
              <w:end w:w="120" w:type="dxa"/>
            </w:tcMar>
          </w:tcPr>
          <w:p>
            <w:pPr>
              <w:spacing w:after="0" w:line="245" w:lineRule="auto"/>
            </w:pPr>
            <w:r>
              <w:rPr>
                <w:rFonts w:ascii="Aptos" w:hAnsi="Aptos"/>
                <w:b w:val="0"/>
                <w:color w:val="17212B"/>
                <w:sz w:val="14"/>
              </w:rPr>
              <w:t>V direct, sequential, load and skill-based assignment with thresholds/backlog.</w:t>
            </w:r>
          </w:p>
        </w:tc>
        <w:tc>
          <w:tcPr>
            <w:tcW w:type="dxa" w:w="2534"/>
            <w:vAlign w:val="center"/>
            <w:tcMar>
              <w:top w:w="90" w:type="dxa"/>
              <w:start w:w="120" w:type="dxa"/>
              <w:bottom w:w="90" w:type="dxa"/>
              <w:end w:w="120" w:type="dxa"/>
            </w:tcMar>
          </w:tcPr>
          <w:p>
            <w:pPr>
              <w:spacing w:after="0" w:line="245" w:lineRule="auto"/>
            </w:pPr>
            <w:r>
              <w:rPr>
                <w:rFonts w:ascii="Aptos" w:hAnsi="Aptos"/>
                <w:b w:val="0"/>
                <w:color w:val="17212B"/>
                <w:sz w:val="14"/>
              </w:rPr>
              <w:t>Contact/ticket context; V Zia assistance and insights.</w:t>
            </w:r>
          </w:p>
        </w:tc>
        <w:tc>
          <w:tcPr>
            <w:tcW w:type="dxa" w:w="2347"/>
            <w:vAlign w:val="center"/>
            <w:tcMar>
              <w:top w:w="90" w:type="dxa"/>
              <w:start w:w="120" w:type="dxa"/>
              <w:bottom w:w="90" w:type="dxa"/>
              <w:end w:w="120" w:type="dxa"/>
            </w:tcMar>
          </w:tcPr>
          <w:p>
            <w:pPr>
              <w:spacing w:after="0" w:line="245" w:lineRule="auto"/>
            </w:pPr>
            <w:r>
              <w:rPr>
                <w:rFonts w:ascii="Aptos" w:hAnsi="Aptos"/>
                <w:b w:val="0"/>
                <w:color w:val="17212B"/>
                <w:sz w:val="14"/>
              </w:rPr>
              <w:t>Admin reporting. V BAA available; ePHI fields, encryption, RBAC and audit guidance.</w:t>
            </w:r>
          </w:p>
        </w:tc>
        <w:tc>
          <w:tcPr>
            <w:tcW w:type="dxa" w:w="2678"/>
            <w:vAlign w:val="center"/>
            <w:tcMar>
              <w:top w:w="90" w:type="dxa"/>
              <w:start w:w="120" w:type="dxa"/>
              <w:bottom w:w="90" w:type="dxa"/>
              <w:end w:w="120" w:type="dxa"/>
            </w:tcMar>
          </w:tcPr>
          <w:p>
            <w:pPr>
              <w:spacing w:after="0" w:line="245" w:lineRule="auto"/>
            </w:pPr>
            <w:r>
              <w:rPr>
                <w:rFonts w:ascii="Aptos" w:hAnsi="Aptos"/>
                <w:b w:val="0"/>
                <w:color w:val="17212B"/>
                <w:sz w:val="14"/>
              </w:rPr>
              <w:t>Best value/compliance controls; less premium agent UX. [S20–S23]</w:t>
            </w:r>
          </w:p>
        </w:tc>
      </w:tr>
      <w:tr>
        <w:trPr>
          <w:cantSplit/>
        </w:trPr>
        <w:tc>
          <w:tcPr>
            <w:tcW w:type="dxa" w:w="1180"/>
            <w:vAlign w:val="center"/>
            <w:shd w:fill="F8FAFB"/>
            <w:tcMar>
              <w:top w:w="90" w:type="dxa"/>
              <w:start w:w="120" w:type="dxa"/>
              <w:bottom w:w="90" w:type="dxa"/>
              <w:end w:w="120" w:type="dxa"/>
            </w:tcMar>
          </w:tcPr>
          <w:p>
            <w:pPr>
              <w:spacing w:after="0" w:line="245" w:lineRule="auto"/>
            </w:pPr>
            <w:r>
              <w:rPr>
                <w:rFonts w:ascii="Aptos" w:hAnsi="Aptos"/>
                <w:b/>
                <w:color w:val="17212B"/>
                <w:sz w:val="14"/>
              </w:rPr>
              <w:t>Freshdesk Omni</w:t>
            </w:r>
          </w:p>
        </w:tc>
        <w:tc>
          <w:tcPr>
            <w:tcW w:type="dxa" w:w="2116"/>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2025 command centre unifies email, chat, WhatsApp, Facebook and Instagram.</w:t>
            </w:r>
          </w:p>
        </w:tc>
        <w:tc>
          <w:tcPr>
            <w:tcW w:type="dxa" w:w="1555"/>
            <w:vAlign w:val="center"/>
            <w:shd w:fill="F8FAFB"/>
            <w:tcMar>
              <w:top w:w="90" w:type="dxa"/>
              <w:start w:w="120" w:type="dxa"/>
              <w:bottom w:w="90" w:type="dxa"/>
              <w:end w:w="120" w:type="dxa"/>
            </w:tcMar>
          </w:tcPr>
          <w:p>
            <w:pPr>
              <w:spacing w:after="0" w:line="245" w:lineRule="auto"/>
            </w:pPr>
            <w:r>
              <w:rPr>
                <w:rFonts w:ascii="Aptos" w:hAnsi="Aptos"/>
                <w:b w:val="0"/>
                <w:color w:val="17212B"/>
                <w:sz w:val="14"/>
              </w:rPr>
              <w:t>Voice within Freshdesk suite; packaging/region must be confirmed.</w:t>
            </w:r>
          </w:p>
        </w:tc>
        <w:tc>
          <w:tcPr>
            <w:tcW w:type="dxa" w:w="1843"/>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unified admin, automation, prioritisation and Omniroute.</w:t>
            </w:r>
          </w:p>
        </w:tc>
        <w:tc>
          <w:tcPr>
            <w:tcW w:type="dxa" w:w="2534"/>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360 contact history and channel identifiers; Freddy replies, summaries, KB and insights.</w:t>
            </w:r>
          </w:p>
        </w:tc>
        <w:tc>
          <w:tcPr>
            <w:tcW w:type="dxa" w:w="2347"/>
            <w:vAlign w:val="center"/>
            <w:shd w:fill="F8FAFB"/>
            <w:tcMar>
              <w:top w:w="90" w:type="dxa"/>
              <w:start w:w="120" w:type="dxa"/>
              <w:bottom w:w="90" w:type="dxa"/>
              <w:end w:w="120" w:type="dxa"/>
            </w:tcMar>
          </w:tcPr>
          <w:p>
            <w:pPr>
              <w:spacing w:after="0" w:line="245" w:lineRule="auto"/>
            </w:pPr>
            <w:r>
              <w:rPr>
                <w:rFonts w:ascii="Aptos" w:hAnsi="Aptos"/>
                <w:b w:val="0"/>
                <w:color w:val="17212B"/>
                <w:sz w:val="14"/>
              </w:rPr>
              <w:t>Omnichannel analytics. V BAA scope includes Freshdesk/Chat/Caller/Omnichannel with mandatory config.</w:t>
            </w:r>
          </w:p>
        </w:tc>
        <w:tc>
          <w:tcPr>
            <w:tcW w:type="dxa" w:w="2678"/>
            <w:vAlign w:val="center"/>
            <w:shd w:fill="F8FAFB"/>
            <w:tcMar>
              <w:top w:w="90" w:type="dxa"/>
              <w:start w:w="120" w:type="dxa"/>
              <w:bottom w:w="90" w:type="dxa"/>
              <w:end w:w="120" w:type="dxa"/>
            </w:tcMar>
          </w:tcPr>
          <w:p>
            <w:pPr>
              <w:spacing w:after="0" w:line="245" w:lineRule="auto"/>
            </w:pPr>
            <w:r>
              <w:rPr>
                <w:rFonts w:ascii="Aptos" w:hAnsi="Aptos"/>
                <w:b w:val="0"/>
                <w:color w:val="17212B"/>
                <w:sz w:val="14"/>
              </w:rPr>
              <w:t>Balanced mid-market suite; verify new Omni packaging. [S24–S26]</w:t>
            </w:r>
          </w:p>
        </w:tc>
      </w:tr>
      <w:tr>
        <w:trPr>
          <w:cantSplit/>
        </w:trPr>
        <w:tc>
          <w:tcPr>
            <w:tcW w:type="dxa" w:w="1180"/>
            <w:vAlign w:val="center"/>
            <w:tcMar>
              <w:top w:w="90" w:type="dxa"/>
              <w:start w:w="120" w:type="dxa"/>
              <w:bottom w:w="90" w:type="dxa"/>
              <w:end w:w="120" w:type="dxa"/>
            </w:tcMar>
          </w:tcPr>
          <w:p>
            <w:pPr>
              <w:spacing w:after="0" w:line="245" w:lineRule="auto"/>
            </w:pPr>
            <w:r>
              <w:rPr>
                <w:rFonts w:ascii="Aptos" w:hAnsi="Aptos"/>
                <w:b/>
                <w:color w:val="17212B"/>
                <w:sz w:val="14"/>
              </w:rPr>
              <w:t>HubSpot Service Hub</w:t>
            </w:r>
          </w:p>
        </w:tc>
        <w:tc>
          <w:tcPr>
            <w:tcW w:type="dxa" w:w="2116"/>
            <w:vAlign w:val="center"/>
            <w:tcMar>
              <w:top w:w="90" w:type="dxa"/>
              <w:start w:w="120" w:type="dxa"/>
              <w:bottom w:w="90" w:type="dxa"/>
              <w:end w:w="120" w:type="dxa"/>
            </w:tcMar>
          </w:tcPr>
          <w:p>
            <w:pPr>
              <w:spacing w:after="0" w:line="245" w:lineRule="auto"/>
            </w:pPr>
            <w:r>
              <w:rPr>
                <w:rFonts w:ascii="Aptos" w:hAnsi="Aptos"/>
                <w:b w:val="0"/>
                <w:color w:val="17212B"/>
                <w:sz w:val="14"/>
              </w:rPr>
              <w:t>V Help Desk with chat, email, WhatsApp and calling channel threads.</w:t>
            </w:r>
          </w:p>
        </w:tc>
        <w:tc>
          <w:tcPr>
            <w:tcW w:type="dxa" w:w="1555"/>
            <w:vAlign w:val="center"/>
            <w:tcMar>
              <w:top w:w="90" w:type="dxa"/>
              <w:start w:w="120" w:type="dxa"/>
              <w:bottom w:w="90" w:type="dxa"/>
              <w:end w:w="120" w:type="dxa"/>
            </w:tcMar>
          </w:tcPr>
          <w:p>
            <w:pPr>
              <w:spacing w:after="0" w:line="245" w:lineRule="auto"/>
            </w:pPr>
            <w:r>
              <w:rPr>
                <w:rFonts w:ascii="Aptos" w:hAnsi="Aptos"/>
                <w:b w:val="0"/>
                <w:color w:val="17212B"/>
                <w:sz w:val="14"/>
              </w:rPr>
              <w:t>V HubSpot-number inbound calling in Help Desk; simultaneous ring.</w:t>
            </w:r>
          </w:p>
        </w:tc>
        <w:tc>
          <w:tcPr>
            <w:tcW w:type="dxa" w:w="1843"/>
            <w:vAlign w:val="center"/>
            <w:tcMar>
              <w:top w:w="90" w:type="dxa"/>
              <w:start w:w="120" w:type="dxa"/>
              <w:bottom w:w="90" w:type="dxa"/>
              <w:end w:w="120" w:type="dxa"/>
            </w:tcMar>
          </w:tcPr>
          <w:p>
            <w:pPr>
              <w:spacing w:after="0" w:line="245" w:lineRule="auto"/>
            </w:pPr>
            <w:r>
              <w:rPr>
                <w:rFonts w:ascii="Aptos" w:hAnsi="Aptos"/>
                <w:b w:val="0"/>
                <w:color w:val="17212B"/>
                <w:sz w:val="14"/>
              </w:rPr>
              <w:t>V team/user, capacity and skill routing on eligible plans.</w:t>
            </w:r>
          </w:p>
        </w:tc>
        <w:tc>
          <w:tcPr>
            <w:tcW w:type="dxa" w:w="2534"/>
            <w:vAlign w:val="center"/>
            <w:tcMar>
              <w:top w:w="90" w:type="dxa"/>
              <w:start w:w="120" w:type="dxa"/>
              <w:bottom w:w="90" w:type="dxa"/>
              <w:end w:w="120" w:type="dxa"/>
            </w:tcMar>
          </w:tcPr>
          <w:p>
            <w:pPr>
              <w:spacing w:after="0" w:line="245" w:lineRule="auto"/>
            </w:pPr>
            <w:r>
              <w:rPr>
                <w:rFonts w:ascii="Aptos" w:hAnsi="Aptos"/>
                <w:b w:val="0"/>
                <w:color w:val="17212B"/>
                <w:sz w:val="14"/>
              </w:rPr>
              <w:t>Strong CRM record context; Breeze customer agent/reply recommendations and handoff.</w:t>
            </w:r>
          </w:p>
        </w:tc>
        <w:tc>
          <w:tcPr>
            <w:tcW w:type="dxa" w:w="2347"/>
            <w:vAlign w:val="center"/>
            <w:tcMar>
              <w:top w:w="90" w:type="dxa"/>
              <w:start w:w="120" w:type="dxa"/>
              <w:bottom w:w="90" w:type="dxa"/>
              <w:end w:w="120" w:type="dxa"/>
            </w:tcMar>
          </w:tcPr>
          <w:p>
            <w:pPr>
              <w:spacing w:after="0" w:line="245" w:lineRule="auto"/>
            </w:pPr>
            <w:r>
              <w:rPr>
                <w:rFonts w:ascii="Aptos" w:hAnsi="Aptos"/>
                <w:b w:val="0"/>
                <w:color w:val="17212B"/>
                <w:sz w:val="14"/>
              </w:rPr>
              <w:t>Service analytics. V sensitive-data controls and BAA for qualifying Enterprise customers.</w:t>
            </w:r>
          </w:p>
        </w:tc>
        <w:tc>
          <w:tcPr>
            <w:tcW w:type="dxa" w:w="2678"/>
            <w:vAlign w:val="center"/>
            <w:tcMar>
              <w:top w:w="90" w:type="dxa"/>
              <w:start w:w="120" w:type="dxa"/>
              <w:bottom w:w="90" w:type="dxa"/>
              <w:end w:w="120" w:type="dxa"/>
            </w:tcMar>
          </w:tcPr>
          <w:p>
            <w:pPr>
              <w:spacing w:after="0" w:line="245" w:lineRule="auto"/>
            </w:pPr>
            <w:r>
              <w:rPr>
                <w:rFonts w:ascii="Aptos" w:hAnsi="Aptos"/>
                <w:b w:val="0"/>
                <w:color w:val="17212B"/>
                <w:sz w:val="14"/>
              </w:rPr>
              <w:t>Best CRM usability and sales/service continuity; less CCaaS depth. [S27–S31]</w:t>
            </w:r>
          </w:p>
        </w:tc>
      </w:tr>
      <w:tr>
        <w:trPr>
          <w:cantSplit/>
        </w:trPr>
        <w:tc>
          <w:tcPr>
            <w:tcW w:type="dxa" w:w="1180"/>
            <w:vAlign w:val="center"/>
            <w:shd w:fill="F8FAFB"/>
            <w:tcMar>
              <w:top w:w="90" w:type="dxa"/>
              <w:start w:w="120" w:type="dxa"/>
              <w:bottom w:w="90" w:type="dxa"/>
              <w:end w:w="120" w:type="dxa"/>
            </w:tcMar>
          </w:tcPr>
          <w:p>
            <w:pPr>
              <w:spacing w:after="0" w:line="245" w:lineRule="auto"/>
            </w:pPr>
            <w:r>
              <w:rPr>
                <w:rFonts w:ascii="Aptos" w:hAnsi="Aptos"/>
                <w:b/>
                <w:color w:val="17212B"/>
                <w:sz w:val="14"/>
              </w:rPr>
              <w:t>Genesys Cloud CX</w:t>
            </w:r>
          </w:p>
        </w:tc>
        <w:tc>
          <w:tcPr>
            <w:tcW w:type="dxa" w:w="2116"/>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all-in-one voice/digital interface across email, chat, voice, messaging, callbacks.</w:t>
            </w:r>
          </w:p>
        </w:tc>
        <w:tc>
          <w:tcPr>
            <w:tcW w:type="dxa" w:w="1555"/>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carrier-grade native/BYOC voice and WEM ecosystem.</w:t>
            </w:r>
          </w:p>
        </w:tc>
        <w:tc>
          <w:tcPr>
            <w:tcW w:type="dxa" w:w="1843"/>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standard, bullseye, preferred, direct and predictive routing by KPI.</w:t>
            </w:r>
          </w:p>
        </w:tc>
        <w:tc>
          <w:tcPr>
            <w:tcW w:type="dxa" w:w="2534"/>
            <w:vAlign w:val="center"/>
            <w:shd w:fill="F8FAFB"/>
            <w:tcMar>
              <w:top w:w="90" w:type="dxa"/>
              <w:start w:w="120" w:type="dxa"/>
              <w:bottom w:w="90" w:type="dxa"/>
              <w:end w:w="120" w:type="dxa"/>
            </w:tcMar>
          </w:tcPr>
          <w:p>
            <w:pPr>
              <w:spacing w:after="0" w:line="245" w:lineRule="auto"/>
            </w:pPr>
            <w:r>
              <w:rPr>
                <w:rFonts w:ascii="Aptos" w:hAnsi="Aptos"/>
                <w:b w:val="0"/>
                <w:color w:val="17212B"/>
                <w:sz w:val="14"/>
              </w:rPr>
              <w:t>CRM integrations; Agent Copilot gives next actions, knowledge, summaries and wrap-up.</w:t>
            </w:r>
          </w:p>
        </w:tc>
        <w:tc>
          <w:tcPr>
            <w:tcW w:type="dxa" w:w="2347"/>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detailed Copilot/queue analytics and WEM. Trust centre lists HIPAA/HITRUST.</w:t>
            </w:r>
          </w:p>
        </w:tc>
        <w:tc>
          <w:tcPr>
            <w:tcW w:type="dxa" w:w="2678"/>
            <w:vAlign w:val="center"/>
            <w:shd w:fill="F8FAFB"/>
            <w:tcMar>
              <w:top w:w="90" w:type="dxa"/>
              <w:start w:w="120" w:type="dxa"/>
              <w:bottom w:w="90" w:type="dxa"/>
              <w:end w:w="120" w:type="dxa"/>
            </w:tcMar>
          </w:tcPr>
          <w:p>
            <w:pPr>
              <w:spacing w:after="0" w:line="245" w:lineRule="auto"/>
            </w:pPr>
            <w:r>
              <w:rPr>
                <w:rFonts w:ascii="Aptos" w:hAnsi="Aptos"/>
                <w:b w:val="0"/>
                <w:color w:val="17212B"/>
                <w:sz w:val="14"/>
              </w:rPr>
              <w:t>Best routing science and enterprise operations; heavy platform. [S32–S36]</w:t>
            </w:r>
          </w:p>
        </w:tc>
      </w:tr>
      <w:tr>
        <w:trPr>
          <w:cantSplit/>
        </w:trPr>
        <w:tc>
          <w:tcPr>
            <w:tcW w:type="dxa" w:w="1180"/>
            <w:vAlign w:val="center"/>
            <w:tcMar>
              <w:top w:w="90" w:type="dxa"/>
              <w:start w:w="120" w:type="dxa"/>
              <w:bottom w:w="90" w:type="dxa"/>
              <w:end w:w="120" w:type="dxa"/>
            </w:tcMar>
          </w:tcPr>
          <w:p>
            <w:pPr>
              <w:spacing w:after="0" w:line="245" w:lineRule="auto"/>
            </w:pPr>
            <w:r>
              <w:rPr>
                <w:rFonts w:ascii="Aptos" w:hAnsi="Aptos"/>
                <w:b/>
                <w:color w:val="17212B"/>
                <w:sz w:val="14"/>
              </w:rPr>
              <w:t>NICE CXone</w:t>
            </w:r>
          </w:p>
        </w:tc>
        <w:tc>
          <w:tcPr>
            <w:tcW w:type="dxa" w:w="2116"/>
            <w:vAlign w:val="center"/>
            <w:tcMar>
              <w:top w:w="90" w:type="dxa"/>
              <w:start w:w="120" w:type="dxa"/>
              <w:bottom w:w="90" w:type="dxa"/>
              <w:end w:w="120" w:type="dxa"/>
            </w:tcMar>
          </w:tcPr>
          <w:p>
            <w:pPr>
              <w:spacing w:after="0" w:line="245" w:lineRule="auto"/>
            </w:pPr>
            <w:r>
              <w:rPr>
                <w:rFonts w:ascii="Aptos" w:hAnsi="Aptos"/>
                <w:b w:val="0"/>
                <w:color w:val="17212B"/>
                <w:sz w:val="14"/>
              </w:rPr>
              <w:t>V Agent Workspace handles voice and Digital Experience channels; embedded variants.</w:t>
            </w:r>
          </w:p>
        </w:tc>
        <w:tc>
          <w:tcPr>
            <w:tcW w:type="dxa" w:w="1555"/>
            <w:vAlign w:val="center"/>
            <w:tcMar>
              <w:top w:w="90" w:type="dxa"/>
              <w:start w:w="120" w:type="dxa"/>
              <w:bottom w:w="90" w:type="dxa"/>
              <w:end w:w="120" w:type="dxa"/>
            </w:tcMar>
          </w:tcPr>
          <w:p>
            <w:pPr>
              <w:spacing w:after="0" w:line="245" w:lineRule="auto"/>
            </w:pPr>
            <w:r>
              <w:rPr>
                <w:rFonts w:ascii="Aptos" w:hAnsi="Aptos"/>
                <w:b w:val="0"/>
                <w:color w:val="17212B"/>
                <w:sz w:val="14"/>
              </w:rPr>
              <w:t>V integrated softphone and enterprise recording.</w:t>
            </w:r>
          </w:p>
        </w:tc>
        <w:tc>
          <w:tcPr>
            <w:tcW w:type="dxa" w:w="1843"/>
            <w:vAlign w:val="center"/>
            <w:tcMar>
              <w:top w:w="90" w:type="dxa"/>
              <w:start w:w="120" w:type="dxa"/>
              <w:bottom w:w="90" w:type="dxa"/>
              <w:end w:w="120" w:type="dxa"/>
            </w:tcMar>
          </w:tcPr>
          <w:p>
            <w:pPr>
              <w:spacing w:after="0" w:line="245" w:lineRule="auto"/>
            </w:pPr>
            <w:r>
              <w:rPr>
                <w:rFonts w:ascii="Aptos" w:hAnsi="Aptos"/>
                <w:b w:val="0"/>
                <w:color w:val="17212B"/>
                <w:sz w:val="14"/>
              </w:rPr>
              <w:t>V unified/advanced routing and capacity across interaction types.</w:t>
            </w:r>
          </w:p>
        </w:tc>
        <w:tc>
          <w:tcPr>
            <w:tcW w:type="dxa" w:w="2534"/>
            <w:vAlign w:val="center"/>
            <w:tcMar>
              <w:top w:w="90" w:type="dxa"/>
              <w:start w:w="120" w:type="dxa"/>
              <w:bottom w:w="90" w:type="dxa"/>
              <w:end w:w="120" w:type="dxa"/>
            </w:tcMar>
          </w:tcPr>
          <w:p>
            <w:pPr>
              <w:spacing w:after="0" w:line="245" w:lineRule="auto"/>
            </w:pPr>
            <w:r>
              <w:rPr>
                <w:rFonts w:ascii="Aptos" w:hAnsi="Aptos"/>
                <w:b w:val="0"/>
                <w:color w:val="17212B"/>
                <w:sz w:val="14"/>
              </w:rPr>
              <w:t>CRM data mapping; Copilot offers real-time/journey summaries, sentiment, KB and task assist.</w:t>
            </w:r>
          </w:p>
        </w:tc>
        <w:tc>
          <w:tcPr>
            <w:tcW w:type="dxa" w:w="2347"/>
            <w:vAlign w:val="center"/>
            <w:tcMar>
              <w:top w:w="90" w:type="dxa"/>
              <w:start w:w="120" w:type="dxa"/>
              <w:bottom w:w="90" w:type="dxa"/>
              <w:end w:w="120" w:type="dxa"/>
            </w:tcMar>
          </w:tcPr>
          <w:p>
            <w:pPr>
              <w:spacing w:after="0" w:line="245" w:lineRule="auto"/>
            </w:pPr>
            <w:r>
              <w:rPr>
                <w:rFonts w:ascii="Aptos" w:hAnsi="Aptos"/>
                <w:b w:val="0"/>
                <w:color w:val="17212B"/>
                <w:sz w:val="14"/>
              </w:rPr>
              <w:t>Best-in-class WEM/QA/compliance. Trust centre supports HIPAA controls/BAA scope review.</w:t>
            </w:r>
          </w:p>
        </w:tc>
        <w:tc>
          <w:tcPr>
            <w:tcW w:type="dxa" w:w="2678"/>
            <w:vAlign w:val="center"/>
            <w:tcMar>
              <w:top w:w="90" w:type="dxa"/>
              <w:start w:w="120" w:type="dxa"/>
              <w:bottom w:w="90" w:type="dxa"/>
              <w:end w:w="120" w:type="dxa"/>
            </w:tcMar>
          </w:tcPr>
          <w:p>
            <w:pPr>
              <w:spacing w:after="0" w:line="245" w:lineRule="auto"/>
            </w:pPr>
            <w:r>
              <w:rPr>
                <w:rFonts w:ascii="Aptos" w:hAnsi="Aptos"/>
                <w:b w:val="0"/>
                <w:color w:val="17212B"/>
                <w:sz w:val="14"/>
              </w:rPr>
              <w:t>Best supervisor and quality depth; complex and costly. [S37–S41]</w:t>
            </w:r>
          </w:p>
        </w:tc>
      </w:tr>
      <w:tr>
        <w:trPr>
          <w:cantSplit/>
        </w:trPr>
        <w:tc>
          <w:tcPr>
            <w:tcW w:type="dxa" w:w="1180"/>
            <w:vAlign w:val="center"/>
            <w:shd w:fill="F8FAFB"/>
            <w:tcMar>
              <w:top w:w="90" w:type="dxa"/>
              <w:start w:w="120" w:type="dxa"/>
              <w:bottom w:w="90" w:type="dxa"/>
              <w:end w:w="120" w:type="dxa"/>
            </w:tcMar>
          </w:tcPr>
          <w:p>
            <w:pPr>
              <w:spacing w:after="0" w:line="245" w:lineRule="auto"/>
            </w:pPr>
            <w:r>
              <w:rPr>
                <w:rFonts w:ascii="Aptos" w:hAnsi="Aptos"/>
                <w:b/>
                <w:color w:val="17212B"/>
                <w:sz w:val="14"/>
              </w:rPr>
              <w:t>Twilio Flex</w:t>
            </w:r>
          </w:p>
        </w:tc>
        <w:tc>
          <w:tcPr>
            <w:tcW w:type="dxa" w:w="2116"/>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programmable UI for voice and messaging; Conversations includes SMS, WhatsApp, chat, Messenger beta.</w:t>
            </w:r>
          </w:p>
        </w:tc>
        <w:tc>
          <w:tcPr>
            <w:tcW w:type="dxa" w:w="1555"/>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native programmable voice/IVR.</w:t>
            </w:r>
          </w:p>
        </w:tc>
        <w:tc>
          <w:tcPr>
            <w:tcW w:type="dxa" w:w="1843"/>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TaskRouter skills, priorities, queues, capacity, FIFO/LIFO and round robin.</w:t>
            </w:r>
          </w:p>
        </w:tc>
        <w:tc>
          <w:tcPr>
            <w:tcW w:type="dxa" w:w="2534"/>
            <w:vAlign w:val="center"/>
            <w:shd w:fill="F8FAFB"/>
            <w:tcMar>
              <w:top w:w="90" w:type="dxa"/>
              <w:start w:w="120" w:type="dxa"/>
              <w:bottom w:w="90" w:type="dxa"/>
              <w:end w:w="120" w:type="dxa"/>
            </w:tcMar>
          </w:tcPr>
          <w:p>
            <w:pPr>
              <w:spacing w:after="0" w:line="245" w:lineRule="auto"/>
            </w:pPr>
            <w:r>
              <w:rPr>
                <w:rFonts w:ascii="Aptos" w:hAnsi="Aptos"/>
                <w:b w:val="0"/>
                <w:color w:val="17212B"/>
                <w:sz w:val="14"/>
              </w:rPr>
              <w:t>Unified Profiles and Agent Copilot are public beta; post-work summaries/sentiment.</w:t>
            </w:r>
          </w:p>
        </w:tc>
        <w:tc>
          <w:tcPr>
            <w:tcW w:type="dxa" w:w="2347"/>
            <w:vAlign w:val="center"/>
            <w:shd w:fill="F8FAFB"/>
            <w:tcMar>
              <w:top w:w="90" w:type="dxa"/>
              <w:start w:w="120" w:type="dxa"/>
              <w:bottom w:w="90" w:type="dxa"/>
              <w:end w:w="120" w:type="dxa"/>
            </w:tcMar>
          </w:tcPr>
          <w:p>
            <w:pPr>
              <w:spacing w:after="0" w:line="245" w:lineRule="auto"/>
            </w:pPr>
            <w:r>
              <w:rPr>
                <w:rFonts w:ascii="Aptos" w:hAnsi="Aptos"/>
                <w:b w:val="0"/>
                <w:color w:val="17212B"/>
                <w:sz w:val="14"/>
              </w:rPr>
              <w:t>Highly customisable. Critical: Copilot and Unified Profiles are not HIPAA-eligible.</w:t>
            </w:r>
          </w:p>
        </w:tc>
        <w:tc>
          <w:tcPr>
            <w:tcW w:type="dxa" w:w="2678"/>
            <w:vAlign w:val="center"/>
            <w:shd w:fill="F8FAFB"/>
            <w:tcMar>
              <w:top w:w="90" w:type="dxa"/>
              <w:start w:w="120" w:type="dxa"/>
              <w:bottom w:w="90" w:type="dxa"/>
              <w:end w:w="120" w:type="dxa"/>
            </w:tcMar>
          </w:tcPr>
          <w:p>
            <w:pPr>
              <w:spacing w:after="0" w:line="245" w:lineRule="auto"/>
            </w:pPr>
            <w:r>
              <w:rPr>
                <w:rFonts w:ascii="Aptos" w:hAnsi="Aptos"/>
                <w:b w:val="0"/>
                <w:color w:val="17212B"/>
                <w:sz w:val="14"/>
              </w:rPr>
              <w:t>Best build-your-own substrate; healthcare AI exclusions are decisive. [S42–S46]</w:t>
            </w:r>
          </w:p>
        </w:tc>
      </w:tr>
      <w:tr>
        <w:trPr>
          <w:cantSplit/>
        </w:trPr>
        <w:tc>
          <w:tcPr>
            <w:tcW w:type="dxa" w:w="1180"/>
            <w:vAlign w:val="center"/>
            <w:tcMar>
              <w:top w:w="90" w:type="dxa"/>
              <w:start w:w="120" w:type="dxa"/>
              <w:bottom w:w="90" w:type="dxa"/>
              <w:end w:w="120" w:type="dxa"/>
            </w:tcMar>
          </w:tcPr>
          <w:p>
            <w:pPr>
              <w:spacing w:after="0" w:line="245" w:lineRule="auto"/>
            </w:pPr>
            <w:r>
              <w:rPr>
                <w:rFonts w:ascii="Aptos" w:hAnsi="Aptos"/>
                <w:b/>
                <w:color w:val="17212B"/>
                <w:sz w:val="14"/>
              </w:rPr>
              <w:t>Talkdesk</w:t>
            </w:r>
          </w:p>
        </w:tc>
        <w:tc>
          <w:tcPr>
            <w:tcW w:type="dxa" w:w="2116"/>
            <w:vAlign w:val="center"/>
            <w:tcMar>
              <w:top w:w="90" w:type="dxa"/>
              <w:start w:w="120" w:type="dxa"/>
              <w:bottom w:w="90" w:type="dxa"/>
              <w:end w:w="120" w:type="dxa"/>
            </w:tcMar>
          </w:tcPr>
          <w:p>
            <w:pPr>
              <w:spacing w:after="0" w:line="245" w:lineRule="auto"/>
            </w:pPr>
            <w:r>
              <w:rPr>
                <w:rFonts w:ascii="Aptos" w:hAnsi="Aptos"/>
                <w:b w:val="0"/>
                <w:color w:val="17212B"/>
                <w:sz w:val="14"/>
              </w:rPr>
              <w:t>V Agent Workspace unifies voice, SMS, chat, email, social and apps.</w:t>
            </w:r>
          </w:p>
        </w:tc>
        <w:tc>
          <w:tcPr>
            <w:tcW w:type="dxa" w:w="1555"/>
            <w:vAlign w:val="center"/>
            <w:tcMar>
              <w:top w:w="90" w:type="dxa"/>
              <w:start w:w="120" w:type="dxa"/>
              <w:bottom w:w="90" w:type="dxa"/>
              <w:end w:w="120" w:type="dxa"/>
            </w:tcMar>
          </w:tcPr>
          <w:p>
            <w:pPr>
              <w:spacing w:after="0" w:line="245" w:lineRule="auto"/>
            </w:pPr>
            <w:r>
              <w:rPr>
                <w:rFonts w:ascii="Aptos" w:hAnsi="Aptos"/>
                <w:b w:val="0"/>
                <w:color w:val="17212B"/>
                <w:sz w:val="14"/>
              </w:rPr>
              <w:t>V native contact-centre voice, IVR, transfer, voicemail.</w:t>
            </w:r>
          </w:p>
        </w:tc>
        <w:tc>
          <w:tcPr>
            <w:tcW w:type="dxa" w:w="1843"/>
            <w:vAlign w:val="center"/>
            <w:tcMar>
              <w:top w:w="90" w:type="dxa"/>
              <w:start w:w="120" w:type="dxa"/>
              <w:bottom w:w="90" w:type="dxa"/>
              <w:end w:w="120" w:type="dxa"/>
            </w:tcMar>
          </w:tcPr>
          <w:p>
            <w:pPr>
              <w:spacing w:after="0" w:line="245" w:lineRule="auto"/>
            </w:pPr>
            <w:r>
              <w:rPr>
                <w:rFonts w:ascii="Aptos" w:hAnsi="Aptos"/>
                <w:b w:val="0"/>
                <w:color w:val="17212B"/>
                <w:sz w:val="14"/>
              </w:rPr>
              <w:t>V queues, simplified/Studio routing, manual or auto-accept.</w:t>
            </w:r>
          </w:p>
        </w:tc>
        <w:tc>
          <w:tcPr>
            <w:tcW w:type="dxa" w:w="2534"/>
            <w:vAlign w:val="center"/>
            <w:tcMar>
              <w:top w:w="90" w:type="dxa"/>
              <w:start w:w="120" w:type="dxa"/>
              <w:bottom w:w="90" w:type="dxa"/>
              <w:end w:w="120" w:type="dxa"/>
            </w:tcMar>
          </w:tcPr>
          <w:p>
            <w:pPr>
              <w:spacing w:after="0" w:line="245" w:lineRule="auto"/>
            </w:pPr>
            <w:r>
              <w:rPr>
                <w:rFonts w:ascii="Aptos" w:hAnsi="Aptos"/>
                <w:b w:val="0"/>
                <w:color w:val="17212B"/>
                <w:sz w:val="14"/>
              </w:rPr>
              <w:t>Customer history; Copilot real-time transcription, knowledge, guidance, summaries and next steps.</w:t>
            </w:r>
          </w:p>
        </w:tc>
        <w:tc>
          <w:tcPr>
            <w:tcW w:type="dxa" w:w="2347"/>
            <w:vAlign w:val="center"/>
            <w:tcMar>
              <w:top w:w="90" w:type="dxa"/>
              <w:start w:w="120" w:type="dxa"/>
              <w:bottom w:w="90" w:type="dxa"/>
              <w:end w:w="120" w:type="dxa"/>
            </w:tcMar>
          </w:tcPr>
          <w:p>
            <w:pPr>
              <w:spacing w:after="0" w:line="245" w:lineRule="auto"/>
            </w:pPr>
            <w:r>
              <w:rPr>
                <w:rFonts w:ascii="Aptos" w:hAnsi="Aptos"/>
                <w:b w:val="0"/>
                <w:color w:val="17212B"/>
                <w:sz w:val="14"/>
              </w:rPr>
              <w:t>Strong WEM/analytics. Healthcare Experience Cloud markets encrypted HIPAA handling and BAA.</w:t>
            </w:r>
          </w:p>
        </w:tc>
        <w:tc>
          <w:tcPr>
            <w:tcW w:type="dxa" w:w="2678"/>
            <w:vAlign w:val="center"/>
            <w:tcMar>
              <w:top w:w="90" w:type="dxa"/>
              <w:start w:w="120" w:type="dxa"/>
              <w:bottom w:w="90" w:type="dxa"/>
              <w:end w:w="120" w:type="dxa"/>
            </w:tcMar>
          </w:tcPr>
          <w:p>
            <w:pPr>
              <w:spacing w:after="0" w:line="245" w:lineRule="auto"/>
            </w:pPr>
            <w:r>
              <w:rPr>
                <w:rFonts w:ascii="Aptos" w:hAnsi="Aptos"/>
                <w:b w:val="0"/>
                <w:color w:val="17212B"/>
                <w:sz w:val="14"/>
              </w:rPr>
              <w:t>Best healthcare CCaaS reference architecture. [S47–S51]</w:t>
            </w:r>
          </w:p>
        </w:tc>
      </w:tr>
      <w:tr>
        <w:trPr>
          <w:cantSplit/>
        </w:trPr>
        <w:tc>
          <w:tcPr>
            <w:tcW w:type="dxa" w:w="1180"/>
            <w:vAlign w:val="center"/>
            <w:shd w:fill="F8FAFB"/>
            <w:tcMar>
              <w:top w:w="90" w:type="dxa"/>
              <w:start w:w="120" w:type="dxa"/>
              <w:bottom w:w="90" w:type="dxa"/>
              <w:end w:w="120" w:type="dxa"/>
            </w:tcMar>
          </w:tcPr>
          <w:p>
            <w:pPr>
              <w:spacing w:after="0" w:line="245" w:lineRule="auto"/>
            </w:pPr>
            <w:r>
              <w:rPr>
                <w:rFonts w:ascii="Aptos" w:hAnsi="Aptos"/>
                <w:b/>
                <w:color w:val="17212B"/>
                <w:sz w:val="14"/>
              </w:rPr>
              <w:t>Front</w:t>
            </w:r>
          </w:p>
        </w:tc>
        <w:tc>
          <w:tcPr>
            <w:tcW w:type="dxa" w:w="2116"/>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collaborative inbox; new workspace; email/chat/SMS plus partner voice.</w:t>
            </w:r>
          </w:p>
        </w:tc>
        <w:tc>
          <w:tcPr>
            <w:tcW w:type="dxa" w:w="1555"/>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in-inbox voice via Aircall, Dialpad, RingCentral or Zoom; routing remains with partner.</w:t>
            </w:r>
          </w:p>
        </w:tc>
        <w:tc>
          <w:tcPr>
            <w:tcW w:type="dxa" w:w="1843"/>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rules, round robin/load balancing, goals and collision detection.</w:t>
            </w:r>
          </w:p>
        </w:tc>
        <w:tc>
          <w:tcPr>
            <w:tcW w:type="dxa" w:w="2534"/>
            <w:vAlign w:val="center"/>
            <w:shd w:fill="F8FAFB"/>
            <w:tcMar>
              <w:top w:w="90" w:type="dxa"/>
              <w:start w:w="120" w:type="dxa"/>
              <w:bottom w:w="90" w:type="dxa"/>
              <w:end w:w="120" w:type="dxa"/>
            </w:tcMar>
          </w:tcPr>
          <w:p>
            <w:pPr>
              <w:spacing w:after="0" w:line="245" w:lineRule="auto"/>
            </w:pPr>
            <w:r>
              <w:rPr>
                <w:rFonts w:ascii="Aptos" w:hAnsi="Aptos"/>
                <w:b w:val="0"/>
                <w:color w:val="17212B"/>
                <w:sz w:val="14"/>
              </w:rPr>
              <w:t>Phone match to contacts; AI summaries and Autopilot routing.</w:t>
            </w:r>
          </w:p>
        </w:tc>
        <w:tc>
          <w:tcPr>
            <w:tcW w:type="dxa" w:w="2347"/>
            <w:vAlign w:val="center"/>
            <w:shd w:fill="F8FAFB"/>
            <w:tcMar>
              <w:top w:w="90" w:type="dxa"/>
              <w:start w:w="120" w:type="dxa"/>
              <w:bottom w:w="90" w:type="dxa"/>
              <w:end w:w="120" w:type="dxa"/>
            </w:tcMar>
          </w:tcPr>
          <w:p>
            <w:pPr>
              <w:spacing w:after="0" w:line="245" w:lineRule="auto"/>
            </w:pPr>
            <w:r>
              <w:rPr>
                <w:rFonts w:ascii="Aptos" w:hAnsi="Aptos"/>
                <w:b w:val="0"/>
                <w:color w:val="17212B"/>
                <w:sz w:val="14"/>
              </w:rPr>
              <w:t>Good team analytics; healthcare/BAA posture NV in reviewed sources.</w:t>
            </w:r>
          </w:p>
        </w:tc>
        <w:tc>
          <w:tcPr>
            <w:tcW w:type="dxa" w:w="2678"/>
            <w:vAlign w:val="center"/>
            <w:shd w:fill="F8FAFB"/>
            <w:tcMar>
              <w:top w:w="90" w:type="dxa"/>
              <w:start w:w="120" w:type="dxa"/>
              <w:bottom w:w="90" w:type="dxa"/>
              <w:end w:w="120" w:type="dxa"/>
            </w:tcMar>
          </w:tcPr>
          <w:p>
            <w:pPr>
              <w:spacing w:after="0" w:line="245" w:lineRule="auto"/>
            </w:pPr>
            <w:r>
              <w:rPr>
                <w:rFonts w:ascii="Aptos" w:hAnsi="Aptos"/>
                <w:b w:val="0"/>
                <w:color w:val="17212B"/>
                <w:sz w:val="14"/>
              </w:rPr>
              <w:t>Best collaboration UX; partner voice/threading constraints. [S52–S56]</w:t>
            </w:r>
          </w:p>
        </w:tc>
      </w:tr>
      <w:tr>
        <w:trPr>
          <w:cantSplit/>
        </w:trPr>
        <w:tc>
          <w:tcPr>
            <w:tcW w:type="dxa" w:w="1180"/>
            <w:vAlign w:val="center"/>
            <w:tcMar>
              <w:top w:w="90" w:type="dxa"/>
              <w:start w:w="120" w:type="dxa"/>
              <w:bottom w:w="90" w:type="dxa"/>
              <w:end w:w="120" w:type="dxa"/>
            </w:tcMar>
          </w:tcPr>
          <w:p>
            <w:pPr>
              <w:spacing w:after="0" w:line="245" w:lineRule="auto"/>
            </w:pPr>
            <w:r>
              <w:rPr>
                <w:rFonts w:ascii="Aptos" w:hAnsi="Aptos"/>
                <w:b/>
                <w:color w:val="17212B"/>
                <w:sz w:val="14"/>
              </w:rPr>
              <w:t>Kustomer</w:t>
            </w:r>
          </w:p>
        </w:tc>
        <w:tc>
          <w:tcPr>
            <w:tcW w:type="dxa" w:w="2116"/>
            <w:vAlign w:val="center"/>
            <w:tcMar>
              <w:top w:w="90" w:type="dxa"/>
              <w:start w:w="120" w:type="dxa"/>
              <w:bottom w:w="90" w:type="dxa"/>
              <w:end w:w="120" w:type="dxa"/>
            </w:tcMar>
          </w:tcPr>
          <w:p>
            <w:pPr>
              <w:spacing w:after="0" w:line="245" w:lineRule="auto"/>
            </w:pPr>
            <w:r>
              <w:rPr>
                <w:rFonts w:ascii="Aptos" w:hAnsi="Aptos"/>
                <w:b w:val="0"/>
                <w:color w:val="17212B"/>
                <w:sz w:val="14"/>
              </w:rPr>
              <w:t>V customer timeline and conversations with Kustomer Voice in the same environment.</w:t>
            </w:r>
          </w:p>
        </w:tc>
        <w:tc>
          <w:tcPr>
            <w:tcW w:type="dxa" w:w="1555"/>
            <w:vAlign w:val="center"/>
            <w:tcMar>
              <w:top w:w="90" w:type="dxa"/>
              <w:start w:w="120" w:type="dxa"/>
              <w:bottom w:w="90" w:type="dxa"/>
              <w:end w:w="120" w:type="dxa"/>
            </w:tcMar>
          </w:tcPr>
          <w:p>
            <w:pPr>
              <w:spacing w:after="0" w:line="245" w:lineRule="auto"/>
            </w:pPr>
            <w:r>
              <w:rPr>
                <w:rFonts w:ascii="Aptos" w:hAnsi="Aptos"/>
                <w:b w:val="0"/>
                <w:color w:val="17212B"/>
                <w:sz w:val="14"/>
              </w:rPr>
              <w:t>V native voice, IVR, warm/cold transfer, recordings, transcripts and summaries.</w:t>
            </w:r>
          </w:p>
        </w:tc>
        <w:tc>
          <w:tcPr>
            <w:tcW w:type="dxa" w:w="1843"/>
            <w:vAlign w:val="center"/>
            <w:tcMar>
              <w:top w:w="90" w:type="dxa"/>
              <w:start w:w="120" w:type="dxa"/>
              <w:bottom w:w="90" w:type="dxa"/>
              <w:end w:w="120" w:type="dxa"/>
            </w:tcMar>
          </w:tcPr>
          <w:p>
            <w:pPr>
              <w:spacing w:after="0" w:line="245" w:lineRule="auto"/>
            </w:pPr>
            <w:r>
              <w:rPr>
                <w:rFonts w:ascii="Aptos" w:hAnsi="Aptos"/>
                <w:b w:val="0"/>
                <w:color w:val="17212B"/>
                <w:sz w:val="14"/>
              </w:rPr>
              <w:t>V queues, capacity/weights, skills, auto/manual accept, requeue, attribute routing.</w:t>
            </w:r>
          </w:p>
        </w:tc>
        <w:tc>
          <w:tcPr>
            <w:tcW w:type="dxa" w:w="2534"/>
            <w:vAlign w:val="center"/>
            <w:tcMar>
              <w:top w:w="90" w:type="dxa"/>
              <w:start w:w="120" w:type="dxa"/>
              <w:bottom w:w="90" w:type="dxa"/>
              <w:end w:w="120" w:type="dxa"/>
            </w:tcMar>
          </w:tcPr>
          <w:p>
            <w:pPr>
              <w:spacing w:after="0" w:line="245" w:lineRule="auto"/>
            </w:pPr>
            <w:r>
              <w:rPr>
                <w:rFonts w:ascii="Aptos" w:hAnsi="Aptos"/>
                <w:b w:val="0"/>
                <w:color w:val="17212B"/>
                <w:sz w:val="14"/>
              </w:rPr>
              <w:t>Customer-centric record; IQ classification can route; strong timeline continuity.</w:t>
            </w:r>
          </w:p>
        </w:tc>
        <w:tc>
          <w:tcPr>
            <w:tcW w:type="dxa" w:w="2347"/>
            <w:vAlign w:val="center"/>
            <w:tcMar>
              <w:top w:w="90" w:type="dxa"/>
              <w:start w:w="120" w:type="dxa"/>
              <w:bottom w:w="90" w:type="dxa"/>
              <w:end w:w="120" w:type="dxa"/>
            </w:tcMar>
          </w:tcPr>
          <w:p>
            <w:pPr>
              <w:spacing w:after="0" w:line="245" w:lineRule="auto"/>
            </w:pPr>
            <w:r>
              <w:rPr>
                <w:rFonts w:ascii="Aptos" w:hAnsi="Aptos"/>
                <w:b w:val="0"/>
                <w:color w:val="17212B"/>
                <w:sz w:val="14"/>
              </w:rPr>
              <w:t>Live/routing metrics; healthcare contractual posture NV in reviewed sources.</w:t>
            </w:r>
          </w:p>
        </w:tc>
        <w:tc>
          <w:tcPr>
            <w:tcW w:type="dxa" w:w="2678"/>
            <w:vAlign w:val="center"/>
            <w:tcMar>
              <w:top w:w="90" w:type="dxa"/>
              <w:start w:w="120" w:type="dxa"/>
              <w:bottom w:w="90" w:type="dxa"/>
              <w:end w:w="120" w:type="dxa"/>
            </w:tcMar>
          </w:tcPr>
          <w:p>
            <w:pPr>
              <w:spacing w:after="0" w:line="245" w:lineRule="auto"/>
            </w:pPr>
            <w:r>
              <w:rPr>
                <w:rFonts w:ascii="Aptos" w:hAnsi="Aptos"/>
                <w:b w:val="0"/>
                <w:color w:val="17212B"/>
                <w:sz w:val="14"/>
              </w:rPr>
              <w:t>Best customer-timeline mental model; adapt it to caller/patient. [S57–S61]</w:t>
            </w:r>
          </w:p>
        </w:tc>
      </w:tr>
      <w:tr>
        <w:trPr>
          <w:cantSplit/>
        </w:trPr>
        <w:tc>
          <w:tcPr>
            <w:tcW w:type="dxa" w:w="1180"/>
            <w:vAlign w:val="center"/>
            <w:shd w:fill="F8FAFB"/>
            <w:tcMar>
              <w:top w:w="90" w:type="dxa"/>
              <w:start w:w="120" w:type="dxa"/>
              <w:bottom w:w="90" w:type="dxa"/>
              <w:end w:w="120" w:type="dxa"/>
            </w:tcMar>
          </w:tcPr>
          <w:p>
            <w:pPr>
              <w:spacing w:after="0" w:line="245" w:lineRule="auto"/>
            </w:pPr>
            <w:r>
              <w:rPr>
                <w:rFonts w:ascii="Aptos" w:hAnsi="Aptos"/>
                <w:b/>
                <w:color w:val="17212B"/>
                <w:sz w:val="14"/>
              </w:rPr>
              <w:t>Respond.io</w:t>
            </w:r>
          </w:p>
        </w:tc>
        <w:tc>
          <w:tcPr>
            <w:tcW w:type="dxa" w:w="2116"/>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inbox across channels with chat/call views and contact side rail.</w:t>
            </w:r>
          </w:p>
        </w:tc>
        <w:tc>
          <w:tcPr>
            <w:tcW w:type="dxa" w:w="1555"/>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VoIP and WhatsApp calls, mobile, recording/transcript and AI-to-human transfer.</w:t>
            </w:r>
          </w:p>
        </w:tc>
        <w:tc>
          <w:tcPr>
            <w:tcW w:type="dxa" w:w="1843"/>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manual/workflow assignment; AI agent checks availability and hands off.</w:t>
            </w:r>
          </w:p>
        </w:tc>
        <w:tc>
          <w:tcPr>
            <w:tcW w:type="dxa" w:w="2534"/>
            <w:vAlign w:val="center"/>
            <w:shd w:fill="F8FAFB"/>
            <w:tcMar>
              <w:top w:w="90" w:type="dxa"/>
              <w:start w:w="120" w:type="dxa"/>
              <w:bottom w:w="90" w:type="dxa"/>
              <w:end w:w="120" w:type="dxa"/>
            </w:tcMar>
          </w:tcPr>
          <w:p>
            <w:pPr>
              <w:spacing w:after="0" w:line="245" w:lineRule="auto"/>
            </w:pPr>
            <w:r>
              <w:rPr>
                <w:rFonts w:ascii="Aptos" w:hAnsi="Aptos"/>
                <w:b w:val="0"/>
                <w:color w:val="17212B"/>
                <w:sz w:val="14"/>
              </w:rPr>
              <w:t>Single contact record; AI assist, audio transcription and closing summaries.</w:t>
            </w:r>
          </w:p>
        </w:tc>
        <w:tc>
          <w:tcPr>
            <w:tcW w:type="dxa" w:w="2347"/>
            <w:vAlign w:val="center"/>
            <w:shd w:fill="F8FAFB"/>
            <w:tcMar>
              <w:top w:w="90" w:type="dxa"/>
              <w:start w:w="120" w:type="dxa"/>
              <w:bottom w:w="90" w:type="dxa"/>
              <w:end w:w="120" w:type="dxa"/>
            </w:tcMar>
          </w:tcPr>
          <w:p>
            <w:pPr>
              <w:spacing w:after="0" w:line="245" w:lineRule="auto"/>
            </w:pPr>
            <w:r>
              <w:rPr>
                <w:rFonts w:ascii="Aptos" w:hAnsi="Aptos"/>
                <w:b w:val="0"/>
                <w:color w:val="17212B"/>
                <w:sz w:val="14"/>
              </w:rPr>
              <w:t>Reports and permissions; healthcare/BAA posture NV.</w:t>
            </w:r>
          </w:p>
        </w:tc>
        <w:tc>
          <w:tcPr>
            <w:tcW w:type="dxa" w:w="2678"/>
            <w:vAlign w:val="center"/>
            <w:shd w:fill="F8FAFB"/>
            <w:tcMar>
              <w:top w:w="90" w:type="dxa"/>
              <w:start w:w="120" w:type="dxa"/>
              <w:bottom w:w="90" w:type="dxa"/>
              <w:end w:w="120" w:type="dxa"/>
            </w:tcMar>
          </w:tcPr>
          <w:p>
            <w:pPr>
              <w:spacing w:after="0" w:line="245" w:lineRule="auto"/>
            </w:pPr>
            <w:r>
              <w:rPr>
                <w:rFonts w:ascii="Aptos" w:hAnsi="Aptos"/>
                <w:b w:val="0"/>
                <w:color w:val="17212B"/>
                <w:sz w:val="14"/>
              </w:rPr>
              <w:t>Best messaging-led operator flow; AI transfer currently loses pre-transfer context on fallback. [S62–S66]</w:t>
            </w:r>
          </w:p>
        </w:tc>
      </w:tr>
      <w:tr>
        <w:trPr>
          <w:cantSplit/>
        </w:trPr>
        <w:tc>
          <w:tcPr>
            <w:tcW w:type="dxa" w:w="1180"/>
            <w:vAlign w:val="center"/>
            <w:tcMar>
              <w:top w:w="90" w:type="dxa"/>
              <w:start w:w="120" w:type="dxa"/>
              <w:bottom w:w="90" w:type="dxa"/>
              <w:end w:w="120" w:type="dxa"/>
            </w:tcMar>
          </w:tcPr>
          <w:p>
            <w:pPr>
              <w:spacing w:after="0" w:line="245" w:lineRule="auto"/>
            </w:pPr>
            <w:r>
              <w:rPr>
                <w:rFonts w:ascii="Aptos" w:hAnsi="Aptos"/>
                <w:b/>
                <w:color w:val="17212B"/>
                <w:sz w:val="14"/>
              </w:rPr>
              <w:t>SleekFlow</w:t>
            </w:r>
          </w:p>
        </w:tc>
        <w:tc>
          <w:tcPr>
            <w:tcW w:type="dxa" w:w="2116"/>
            <w:vAlign w:val="center"/>
            <w:tcMar>
              <w:top w:w="90" w:type="dxa"/>
              <w:start w:w="120" w:type="dxa"/>
              <w:bottom w:w="90" w:type="dxa"/>
              <w:end w:w="120" w:type="dxa"/>
            </w:tcMar>
          </w:tcPr>
          <w:p>
            <w:pPr>
              <w:spacing w:after="0" w:line="245" w:lineRule="auto"/>
            </w:pPr>
            <w:r>
              <w:rPr>
                <w:rFonts w:ascii="Aptos" w:hAnsi="Aptos"/>
                <w:b w:val="0"/>
                <w:color w:val="17212B"/>
                <w:sz w:val="14"/>
              </w:rPr>
              <w:t>V shared inbox for WhatsApp, Instagram, Messenger, email, VoIP, SMS and TikTok.</w:t>
            </w:r>
          </w:p>
        </w:tc>
        <w:tc>
          <w:tcPr>
            <w:tcW w:type="dxa" w:w="1555"/>
            <w:vAlign w:val="center"/>
            <w:tcMar>
              <w:top w:w="90" w:type="dxa"/>
              <w:start w:w="120" w:type="dxa"/>
              <w:bottom w:w="90" w:type="dxa"/>
              <w:end w:w="120" w:type="dxa"/>
            </w:tcMar>
          </w:tcPr>
          <w:p>
            <w:pPr>
              <w:spacing w:after="0" w:line="245" w:lineRule="auto"/>
            </w:pPr>
            <w:r>
              <w:rPr>
                <w:rFonts w:ascii="Aptos" w:hAnsi="Aptos"/>
                <w:b w:val="0"/>
                <w:color w:val="17212B"/>
                <w:sz w:val="14"/>
              </w:rPr>
              <w:t>V calls logged/transcribed/summarised in inbox.</w:t>
            </w:r>
          </w:p>
        </w:tc>
        <w:tc>
          <w:tcPr>
            <w:tcW w:type="dxa" w:w="1843"/>
            <w:vAlign w:val="center"/>
            <w:tcMar>
              <w:top w:w="90" w:type="dxa"/>
              <w:start w:w="120" w:type="dxa"/>
              <w:bottom w:w="90" w:type="dxa"/>
              <w:end w:w="120" w:type="dxa"/>
            </w:tcMar>
          </w:tcPr>
          <w:p>
            <w:pPr>
              <w:spacing w:after="0" w:line="245" w:lineRule="auto"/>
            </w:pPr>
            <w:r>
              <w:rPr>
                <w:rFonts w:ascii="Aptos" w:hAnsi="Aptos"/>
                <w:b w:val="0"/>
                <w:color w:val="17212B"/>
                <w:sz w:val="14"/>
              </w:rPr>
              <w:t>V Flow Builder, round-robin queue, AI-first contact handling and team handoff.</w:t>
            </w:r>
          </w:p>
        </w:tc>
        <w:tc>
          <w:tcPr>
            <w:tcW w:type="dxa" w:w="2534"/>
            <w:vAlign w:val="center"/>
            <w:tcMar>
              <w:top w:w="90" w:type="dxa"/>
              <w:start w:w="120" w:type="dxa"/>
              <w:bottom w:w="90" w:type="dxa"/>
              <w:end w:w="120" w:type="dxa"/>
            </w:tcMar>
          </w:tcPr>
          <w:p>
            <w:pPr>
              <w:spacing w:after="0" w:line="245" w:lineRule="auto"/>
            </w:pPr>
            <w:r>
              <w:rPr>
                <w:rFonts w:ascii="Aptos" w:hAnsi="Aptos"/>
                <w:b w:val="0"/>
                <w:color w:val="17212B"/>
                <w:sz w:val="14"/>
              </w:rPr>
              <w:t>Built-in CRM and full history; AI writing, summary, AgentFlow and execution trace.</w:t>
            </w:r>
          </w:p>
        </w:tc>
        <w:tc>
          <w:tcPr>
            <w:tcW w:type="dxa" w:w="2347"/>
            <w:vAlign w:val="center"/>
            <w:tcMar>
              <w:top w:w="90" w:type="dxa"/>
              <w:start w:w="120" w:type="dxa"/>
              <w:bottom w:w="90" w:type="dxa"/>
              <w:end w:w="120" w:type="dxa"/>
            </w:tcMar>
          </w:tcPr>
          <w:p>
            <w:pPr>
              <w:spacing w:after="0" w:line="245" w:lineRule="auto"/>
            </w:pPr>
            <w:r>
              <w:rPr>
                <w:rFonts w:ascii="Aptos" w:hAnsi="Aptos"/>
                <w:b w:val="0"/>
                <w:color w:val="17212B"/>
                <w:sz w:val="14"/>
              </w:rPr>
              <w:t>Analytics and RBAC; healthcare/BAA posture NV.</w:t>
            </w:r>
          </w:p>
        </w:tc>
        <w:tc>
          <w:tcPr>
            <w:tcW w:type="dxa" w:w="2678"/>
            <w:vAlign w:val="center"/>
            <w:tcMar>
              <w:top w:w="90" w:type="dxa"/>
              <w:start w:w="120" w:type="dxa"/>
              <w:bottom w:w="90" w:type="dxa"/>
              <w:end w:w="120" w:type="dxa"/>
            </w:tcMar>
          </w:tcPr>
          <w:p>
            <w:pPr>
              <w:spacing w:after="0" w:line="245" w:lineRule="auto"/>
            </w:pPr>
            <w:r>
              <w:rPr>
                <w:rFonts w:ascii="Aptos" w:hAnsi="Aptos"/>
                <w:b w:val="0"/>
                <w:color w:val="17212B"/>
                <w:sz w:val="14"/>
              </w:rPr>
              <w:t>Best APAC social selling + inspectable AI; healthcare controls unverified. [S67–S71]</w:t>
            </w:r>
          </w:p>
        </w:tc>
      </w:tr>
      <w:tr>
        <w:trPr>
          <w:cantSplit/>
        </w:trPr>
        <w:tc>
          <w:tcPr>
            <w:tcW w:type="dxa" w:w="1180"/>
            <w:vAlign w:val="center"/>
            <w:shd w:fill="F8FAFB"/>
            <w:tcMar>
              <w:top w:w="90" w:type="dxa"/>
              <w:start w:w="120" w:type="dxa"/>
              <w:bottom w:w="90" w:type="dxa"/>
              <w:end w:w="120" w:type="dxa"/>
            </w:tcMar>
          </w:tcPr>
          <w:p>
            <w:pPr>
              <w:spacing w:after="0" w:line="245" w:lineRule="auto"/>
            </w:pPr>
            <w:r>
              <w:rPr>
                <w:rFonts w:ascii="Aptos" w:hAnsi="Aptos"/>
                <w:b/>
                <w:color w:val="17212B"/>
                <w:sz w:val="14"/>
              </w:rPr>
              <w:t>Zalo OA Manager / MCC</w:t>
            </w:r>
          </w:p>
        </w:tc>
        <w:tc>
          <w:tcPr>
            <w:tcW w:type="dxa" w:w="2116"/>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native Zalo OA messaging on web/mobile, labels, notes, assignment and chatbot.</w:t>
            </w:r>
          </w:p>
        </w:tc>
        <w:tc>
          <w:tcPr>
            <w:tcW w:type="dxa" w:w="1555"/>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Mini Call Center for OA calls; simple, no integration team required.</w:t>
            </w:r>
          </w:p>
        </w:tc>
        <w:tc>
          <w:tcPr>
            <w:tcW w:type="dxa" w:w="1843"/>
            <w:vAlign w:val="center"/>
            <w:shd w:fill="F8FAFB"/>
            <w:tcMar>
              <w:top w:w="90" w:type="dxa"/>
              <w:start w:w="120" w:type="dxa"/>
              <w:bottom w:w="90" w:type="dxa"/>
              <w:end w:w="120" w:type="dxa"/>
            </w:tcMar>
          </w:tcPr>
          <w:p>
            <w:pPr>
              <w:spacing w:after="0" w:line="245" w:lineRule="auto"/>
            </w:pPr>
            <w:r>
              <w:rPr>
                <w:rFonts w:ascii="Aptos" w:hAnsi="Aptos"/>
                <w:b w:val="0"/>
                <w:color w:val="17212B"/>
                <w:sz w:val="14"/>
              </w:rPr>
              <w:t>V manual assignment; chatbot can classify. Advanced capacity routing NV.</w:t>
            </w:r>
          </w:p>
        </w:tc>
        <w:tc>
          <w:tcPr>
            <w:tcW w:type="dxa" w:w="2534"/>
            <w:vAlign w:val="center"/>
            <w:shd w:fill="F8FAFB"/>
            <w:tcMar>
              <w:top w:w="90" w:type="dxa"/>
              <w:start w:w="120" w:type="dxa"/>
              <w:bottom w:w="90" w:type="dxa"/>
              <w:end w:w="120" w:type="dxa"/>
            </w:tcMar>
          </w:tcPr>
          <w:p>
            <w:pPr>
              <w:spacing w:after="0" w:line="245" w:lineRule="auto"/>
            </w:pPr>
            <w:r>
              <w:rPr>
                <w:rFonts w:ascii="Aptos" w:hAnsi="Aptos"/>
                <w:b w:val="0"/>
                <w:color w:val="17212B"/>
                <w:sz w:val="14"/>
              </w:rPr>
              <w:t>Zalo UID plus user-shared fields; customer list and labels.</w:t>
            </w:r>
          </w:p>
        </w:tc>
        <w:tc>
          <w:tcPr>
            <w:tcW w:type="dxa" w:w="2347"/>
            <w:vAlign w:val="center"/>
            <w:shd w:fill="F8FAFB"/>
            <w:tcMar>
              <w:top w:w="90" w:type="dxa"/>
              <w:start w:w="120" w:type="dxa"/>
              <w:bottom w:w="90" w:type="dxa"/>
              <w:end w:w="120" w:type="dxa"/>
            </w:tcMar>
          </w:tcPr>
          <w:p>
            <w:pPr>
              <w:spacing w:after="0" w:line="245" w:lineRule="auto"/>
            </w:pPr>
            <w:r>
              <w:rPr>
                <w:rFonts w:ascii="Aptos" w:hAnsi="Aptos"/>
                <w:b w:val="0"/>
                <w:color w:val="17212B"/>
                <w:sz w:val="14"/>
              </w:rPr>
              <w:t>OA operational statistics; healthcare data-contract posture requires local review.</w:t>
            </w:r>
          </w:p>
        </w:tc>
        <w:tc>
          <w:tcPr>
            <w:tcW w:type="dxa" w:w="2678"/>
            <w:vAlign w:val="center"/>
            <w:shd w:fill="F8FAFB"/>
            <w:tcMar>
              <w:top w:w="90" w:type="dxa"/>
              <w:start w:w="120" w:type="dxa"/>
              <w:bottom w:w="90" w:type="dxa"/>
              <w:end w:w="120" w:type="dxa"/>
            </w:tcMar>
          </w:tcPr>
          <w:p>
            <w:pPr>
              <w:spacing w:after="0" w:line="245" w:lineRule="auto"/>
            </w:pPr>
            <w:r>
              <w:rPr>
                <w:rFonts w:ascii="Aptos" w:hAnsi="Aptos"/>
                <w:b w:val="0"/>
                <w:color w:val="17212B"/>
                <w:sz w:val="14"/>
              </w:rPr>
              <w:t>Essential Vietnam-native channel, not a complete omnichannel CRM. [S72–S76]</w:t>
            </w:r>
          </w:p>
        </w:tc>
      </w:tr>
      <w:tr>
        <w:trPr>
          <w:cantSplit/>
        </w:trPr>
        <w:tc>
          <w:tcPr>
            <w:tcW w:type="dxa" w:w="1180"/>
            <w:vAlign w:val="center"/>
            <w:tcMar>
              <w:top w:w="90" w:type="dxa"/>
              <w:start w:w="120" w:type="dxa"/>
              <w:bottom w:w="90" w:type="dxa"/>
              <w:end w:w="120" w:type="dxa"/>
            </w:tcMar>
          </w:tcPr>
          <w:p>
            <w:pPr>
              <w:spacing w:after="0" w:line="245" w:lineRule="auto"/>
            </w:pPr>
            <w:r>
              <w:rPr>
                <w:rFonts w:ascii="Aptos" w:hAnsi="Aptos"/>
                <w:b/>
                <w:color w:val="17212B"/>
                <w:sz w:val="14"/>
              </w:rPr>
              <w:t>Zalo OA OpenAPI / ZCC</w:t>
            </w:r>
          </w:p>
        </w:tc>
        <w:tc>
          <w:tcPr>
            <w:tcW w:type="dxa" w:w="2116"/>
            <w:vAlign w:val="center"/>
            <w:tcMar>
              <w:top w:w="90" w:type="dxa"/>
              <w:start w:w="120" w:type="dxa"/>
              <w:bottom w:w="90" w:type="dxa"/>
              <w:end w:w="120" w:type="dxa"/>
            </w:tcMar>
          </w:tcPr>
          <w:p>
            <w:pPr>
              <w:spacing w:after="0" w:line="245" w:lineRule="auto"/>
            </w:pPr>
            <w:r>
              <w:rPr>
                <w:rFonts w:ascii="Aptos" w:hAnsi="Aptos"/>
                <w:b w:val="0"/>
                <w:color w:val="17212B"/>
                <w:sz w:val="14"/>
              </w:rPr>
              <w:t>V API/webhook integration of multiple OAs into CRM/omnichannel systems.</w:t>
            </w:r>
          </w:p>
        </w:tc>
        <w:tc>
          <w:tcPr>
            <w:tcW w:type="dxa" w:w="1555"/>
            <w:vAlign w:val="center"/>
            <w:tcMar>
              <w:top w:w="90" w:type="dxa"/>
              <w:start w:w="120" w:type="dxa"/>
              <w:bottom w:w="90" w:type="dxa"/>
              <w:end w:w="120" w:type="dxa"/>
            </w:tcMar>
          </w:tcPr>
          <w:p>
            <w:pPr>
              <w:spacing w:after="0" w:line="245" w:lineRule="auto"/>
            </w:pPr>
            <w:r>
              <w:rPr>
                <w:rFonts w:ascii="Aptos" w:hAnsi="Aptos"/>
                <w:b w:val="0"/>
                <w:color w:val="17212B"/>
                <w:sz w:val="14"/>
              </w:rPr>
              <w:t>V ZCC connects OA voice to enterprise SIP/PBX; outbound by phone or UID.</w:t>
            </w:r>
          </w:p>
        </w:tc>
        <w:tc>
          <w:tcPr>
            <w:tcW w:type="dxa" w:w="1843"/>
            <w:vAlign w:val="center"/>
            <w:tcMar>
              <w:top w:w="90" w:type="dxa"/>
              <w:start w:w="120" w:type="dxa"/>
              <w:bottom w:w="90" w:type="dxa"/>
              <w:end w:w="120" w:type="dxa"/>
            </w:tcMar>
          </w:tcPr>
          <w:p>
            <w:pPr>
              <w:spacing w:after="0" w:line="245" w:lineRule="auto"/>
            </w:pPr>
            <w:r>
              <w:rPr>
                <w:rFonts w:ascii="Aptos" w:hAnsi="Aptos"/>
                <w:b w:val="0"/>
                <w:color w:val="17212B"/>
                <w:sz w:val="14"/>
              </w:rPr>
              <w:t>Routing handled by enterprise telephony/CRM design.</w:t>
            </w:r>
          </w:p>
        </w:tc>
        <w:tc>
          <w:tcPr>
            <w:tcW w:type="dxa" w:w="2534"/>
            <w:vAlign w:val="center"/>
            <w:tcMar>
              <w:top w:w="90" w:type="dxa"/>
              <w:start w:w="120" w:type="dxa"/>
              <w:bottom w:w="90" w:type="dxa"/>
              <w:end w:w="120" w:type="dxa"/>
            </w:tcMar>
          </w:tcPr>
          <w:p>
            <w:pPr>
              <w:spacing w:after="0" w:line="245" w:lineRule="auto"/>
            </w:pPr>
            <w:r>
              <w:rPr>
                <w:rFonts w:ascii="Aptos" w:hAnsi="Aptos"/>
                <w:b w:val="0"/>
                <w:color w:val="17212B"/>
                <w:sz w:val="14"/>
              </w:rPr>
              <w:t>UID is OA-scoped; Health19 must reconcile UID, phone, partner and patient IDs.</w:t>
            </w:r>
          </w:p>
        </w:tc>
        <w:tc>
          <w:tcPr>
            <w:tcW w:type="dxa" w:w="2347"/>
            <w:vAlign w:val="center"/>
            <w:tcMar>
              <w:top w:w="90" w:type="dxa"/>
              <w:start w:w="120" w:type="dxa"/>
              <w:bottom w:w="90" w:type="dxa"/>
              <w:end w:w="120" w:type="dxa"/>
            </w:tcMar>
          </w:tcPr>
          <w:p>
            <w:pPr>
              <w:spacing w:after="0" w:line="245" w:lineRule="auto"/>
            </w:pPr>
            <w:r>
              <w:rPr>
                <w:rFonts w:ascii="Aptos" w:hAnsi="Aptos"/>
                <w:b w:val="0"/>
                <w:color w:val="17212B"/>
                <w:sz w:val="14"/>
              </w:rPr>
              <w:t>Audit/compliance must be built in the integrated system.</w:t>
            </w:r>
          </w:p>
        </w:tc>
        <w:tc>
          <w:tcPr>
            <w:tcW w:type="dxa" w:w="2678"/>
            <w:vAlign w:val="center"/>
            <w:tcMar>
              <w:top w:w="90" w:type="dxa"/>
              <w:start w:w="120" w:type="dxa"/>
              <w:bottom w:w="90" w:type="dxa"/>
              <w:end w:w="120" w:type="dxa"/>
            </w:tcMar>
          </w:tcPr>
          <w:p>
            <w:pPr>
              <w:spacing w:after="0" w:line="245" w:lineRule="auto"/>
            </w:pPr>
            <w:r>
              <w:rPr>
                <w:rFonts w:ascii="Aptos" w:hAnsi="Aptos"/>
                <w:b w:val="0"/>
                <w:color w:val="17212B"/>
                <w:sz w:val="14"/>
              </w:rPr>
              <w:t>Recommended Zalo architecture for Health19 at scale. [S72–S76]</w:t>
            </w:r>
          </w:p>
        </w:tc>
      </w:tr>
    </w:tbl>
    <w:p>
      <w:pPr>
        <w:spacing w:after="20"/>
      </w:pPr>
    </w:p>
    <w:p>
      <w:pPr>
        <w:sectPr>
          <w:headerReference w:type="default" r:id="rId13"/>
          <w:footerReference w:type="default" r:id="rId14"/>
          <w:pgSz w:w="15840" w:h="12240" w:orient="landscape"/>
          <w:pgMar w:top="792" w:right="792" w:bottom="792" w:left="792" w:header="360" w:footer="360" w:gutter="0"/>
          <w:cols w:space="720"/>
          <w:docGrid w:linePitch="360"/>
        </w:sectPr>
      </w:pPr>
    </w:p>
    <w:p>
      <w:pPr>
        <w:pStyle w:val="Heading1"/>
      </w:pPr>
      <w:r>
        <w:t>5. Best-in-class patterns to combine</w:t>
      </w:r>
    </w:p>
    <w:tbl>
      <w:tblPr>
        <w:tblW w:type="dxa" w:w="936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1800"/>
        <w:gridCol w:w="3384"/>
        <w:gridCol w:w="4176"/>
      </w:tblGrid>
      <w:tr>
        <w:trPr>
          <w:tblHeader w:val="true"/>
          <w:cantSplit/>
        </w:trPr>
        <w:tc>
          <w:tcPr>
            <w:tcW w:type="dxa" w:w="1800"/>
            <w:shd w:fill="0E8A7B"/>
            <w:vAlign w:val="center"/>
            <w:tcMar>
              <w:top w:w="90" w:type="dxa"/>
              <w:start w:w="120" w:type="dxa"/>
              <w:bottom w:w="90" w:type="dxa"/>
              <w:end w:w="120" w:type="dxa"/>
            </w:tcMar>
          </w:tcPr>
          <w:p>
            <w:pPr>
              <w:spacing w:after="0"/>
              <w:jc w:val="left"/>
            </w:pPr>
            <w:r>
              <w:rPr>
                <w:rFonts w:ascii="Aptos" w:hAnsi="Aptos"/>
                <w:b/>
                <w:color w:val="FFFFFF"/>
                <w:sz w:val="17"/>
              </w:rPr>
              <w:t>Reference</w:t>
            </w:r>
          </w:p>
        </w:tc>
        <w:tc>
          <w:tcPr>
            <w:tcW w:type="dxa" w:w="3384"/>
            <w:shd w:fill="0E8A7B"/>
            <w:vAlign w:val="center"/>
            <w:tcMar>
              <w:top w:w="90" w:type="dxa"/>
              <w:start w:w="120" w:type="dxa"/>
              <w:bottom w:w="90" w:type="dxa"/>
              <w:end w:w="120" w:type="dxa"/>
            </w:tcMar>
          </w:tcPr>
          <w:p>
            <w:pPr>
              <w:spacing w:after="0"/>
              <w:jc w:val="left"/>
            </w:pPr>
            <w:r>
              <w:rPr>
                <w:rFonts w:ascii="Aptos" w:hAnsi="Aptos"/>
                <w:b/>
                <w:color w:val="FFFFFF"/>
                <w:sz w:val="17"/>
              </w:rPr>
              <w:t>Pattern</w:t>
            </w:r>
          </w:p>
        </w:tc>
        <w:tc>
          <w:tcPr>
            <w:tcW w:type="dxa" w:w="4176"/>
            <w:shd w:fill="0E8A7B"/>
            <w:vAlign w:val="center"/>
            <w:tcMar>
              <w:top w:w="90" w:type="dxa"/>
              <w:start w:w="120" w:type="dxa"/>
              <w:bottom w:w="90" w:type="dxa"/>
              <w:end w:w="120" w:type="dxa"/>
            </w:tcMar>
          </w:tcPr>
          <w:p>
            <w:pPr>
              <w:spacing w:after="0"/>
              <w:jc w:val="left"/>
            </w:pPr>
            <w:r>
              <w:rPr>
                <w:rFonts w:ascii="Aptos" w:hAnsi="Aptos"/>
                <w:b/>
                <w:color w:val="FFFFFF"/>
                <w:sz w:val="17"/>
              </w:rPr>
              <w:t>Health19 application</w:t>
            </w:r>
          </w:p>
        </w:tc>
      </w:tr>
      <w:tr>
        <w:trPr>
          <w:cantSplit/>
        </w:trPr>
        <w:tc>
          <w:tcPr>
            <w:tcW w:type="dxa" w:w="1800"/>
            <w:vAlign w:val="center"/>
            <w:tcMar>
              <w:top w:w="90" w:type="dxa"/>
              <w:start w:w="120" w:type="dxa"/>
              <w:bottom w:w="90" w:type="dxa"/>
              <w:end w:w="120" w:type="dxa"/>
            </w:tcMar>
          </w:tcPr>
          <w:p>
            <w:pPr>
              <w:spacing w:after="0" w:line="245" w:lineRule="auto"/>
            </w:pPr>
            <w:r>
              <w:rPr>
                <w:rFonts w:ascii="Aptos" w:hAnsi="Aptos"/>
                <w:b/>
                <w:color w:val="17212B"/>
                <w:sz w:val="17"/>
              </w:rPr>
              <w:t>Intercom</w:t>
            </w:r>
          </w:p>
        </w:tc>
        <w:tc>
          <w:tcPr>
            <w:tcW w:type="dxa" w:w="3384"/>
            <w:vAlign w:val="center"/>
            <w:tcMar>
              <w:top w:w="90" w:type="dxa"/>
              <w:start w:w="120" w:type="dxa"/>
              <w:bottom w:w="90" w:type="dxa"/>
              <w:end w:w="120" w:type="dxa"/>
            </w:tcMar>
          </w:tcPr>
          <w:p>
            <w:pPr>
              <w:spacing w:after="0" w:line="245" w:lineRule="auto"/>
            </w:pPr>
            <w:r>
              <w:rPr>
                <w:rFonts w:ascii="Aptos" w:hAnsi="Aptos"/>
                <w:b w:val="0"/>
                <w:color w:val="17212B"/>
                <w:sz w:val="17"/>
              </w:rPr>
              <w:t>Fast, configurable inbox; details/Copilot rail; immediate summaries</w:t>
            </w:r>
          </w:p>
        </w:tc>
        <w:tc>
          <w:tcPr>
            <w:tcW w:type="dxa" w:w="4176"/>
            <w:vAlign w:val="center"/>
            <w:tcMar>
              <w:top w:w="90" w:type="dxa"/>
              <w:start w:w="120" w:type="dxa"/>
              <w:bottom w:w="90" w:type="dxa"/>
              <w:end w:w="120" w:type="dxa"/>
            </w:tcMar>
          </w:tcPr>
          <w:p>
            <w:pPr>
              <w:spacing w:after="0" w:line="245" w:lineRule="auto"/>
            </w:pPr>
            <w:r>
              <w:rPr>
                <w:rFonts w:ascii="Aptos" w:hAnsi="Aptos"/>
                <w:b w:val="0"/>
                <w:color w:val="17212B"/>
                <w:sz w:val="17"/>
              </w:rPr>
              <w:t>Make AI peripheral but always one click away; preserve reading space.</w:t>
            </w:r>
          </w:p>
        </w:tc>
      </w:tr>
      <w:tr>
        <w:trPr>
          <w:cantSplit/>
        </w:trPr>
        <w:tc>
          <w:tcPr>
            <w:tcW w:type="dxa" w:w="1800"/>
            <w:vAlign w:val="center"/>
            <w:shd w:fill="F8FAFB"/>
            <w:tcMar>
              <w:top w:w="90" w:type="dxa"/>
              <w:start w:w="120" w:type="dxa"/>
              <w:bottom w:w="90" w:type="dxa"/>
              <w:end w:w="120" w:type="dxa"/>
            </w:tcMar>
          </w:tcPr>
          <w:p>
            <w:pPr>
              <w:spacing w:after="0" w:line="245" w:lineRule="auto"/>
            </w:pPr>
            <w:r>
              <w:rPr>
                <w:rFonts w:ascii="Aptos" w:hAnsi="Aptos"/>
                <w:b/>
                <w:color w:val="17212B"/>
                <w:sz w:val="17"/>
              </w:rPr>
              <w:t>Zendesk</w:t>
            </w:r>
          </w:p>
        </w:tc>
        <w:tc>
          <w:tcPr>
            <w:tcW w:type="dxa" w:w="3384"/>
            <w:vAlign w:val="center"/>
            <w:shd w:fill="F8FAFB"/>
            <w:tcMar>
              <w:top w:w="90" w:type="dxa"/>
              <w:start w:w="120" w:type="dxa"/>
              <w:bottom w:w="90" w:type="dxa"/>
              <w:end w:w="120" w:type="dxa"/>
            </w:tcMar>
          </w:tcPr>
          <w:p>
            <w:pPr>
              <w:spacing w:after="0" w:line="245" w:lineRule="auto"/>
            </w:pPr>
            <w:r>
              <w:rPr>
                <w:rFonts w:ascii="Aptos" w:hAnsi="Aptos"/>
                <w:b w:val="0"/>
                <w:color w:val="17212B"/>
                <w:sz w:val="17"/>
              </w:rPr>
              <w:t>Single ticket across channels; unified status; focus mode</w:t>
            </w:r>
          </w:p>
        </w:tc>
        <w:tc>
          <w:tcPr>
            <w:tcW w:type="dxa" w:w="4176"/>
            <w:vAlign w:val="center"/>
            <w:shd w:fill="F8FAFB"/>
            <w:tcMar>
              <w:top w:w="90" w:type="dxa"/>
              <w:start w:w="120" w:type="dxa"/>
              <w:bottom w:w="90" w:type="dxa"/>
              <w:end w:w="120" w:type="dxa"/>
            </w:tcMar>
          </w:tcPr>
          <w:p>
            <w:pPr>
              <w:spacing w:after="0" w:line="245" w:lineRule="auto"/>
            </w:pPr>
            <w:r>
              <w:rPr>
                <w:rFonts w:ascii="Aptos" w:hAnsi="Aptos"/>
                <w:b w:val="0"/>
                <w:color w:val="17212B"/>
                <w:sz w:val="17"/>
              </w:rPr>
              <w:t>Treat real-time work as interruptive and protect agent attention.</w:t>
            </w:r>
          </w:p>
        </w:tc>
      </w:tr>
      <w:tr>
        <w:trPr>
          <w:cantSplit/>
        </w:trPr>
        <w:tc>
          <w:tcPr>
            <w:tcW w:type="dxa" w:w="1800"/>
            <w:vAlign w:val="center"/>
            <w:tcMar>
              <w:top w:w="90" w:type="dxa"/>
              <w:start w:w="120" w:type="dxa"/>
              <w:bottom w:w="90" w:type="dxa"/>
              <w:end w:w="120" w:type="dxa"/>
            </w:tcMar>
          </w:tcPr>
          <w:p>
            <w:pPr>
              <w:spacing w:after="0" w:line="245" w:lineRule="auto"/>
            </w:pPr>
            <w:r>
              <w:rPr>
                <w:rFonts w:ascii="Aptos" w:hAnsi="Aptos"/>
                <w:b/>
                <w:color w:val="17212B"/>
                <w:sz w:val="17"/>
              </w:rPr>
              <w:t>Salesforce</w:t>
            </w:r>
          </w:p>
        </w:tc>
        <w:tc>
          <w:tcPr>
            <w:tcW w:type="dxa" w:w="3384"/>
            <w:vAlign w:val="center"/>
            <w:tcMar>
              <w:top w:w="90" w:type="dxa"/>
              <w:start w:w="120" w:type="dxa"/>
              <w:bottom w:w="90" w:type="dxa"/>
              <w:end w:w="120" w:type="dxa"/>
            </w:tcMar>
          </w:tcPr>
          <w:p>
            <w:pPr>
              <w:spacing w:after="0" w:line="245" w:lineRule="auto"/>
            </w:pPr>
            <w:r>
              <w:rPr>
                <w:rFonts w:ascii="Aptos" w:hAnsi="Aptos"/>
                <w:b w:val="0"/>
                <w:color w:val="17212B"/>
                <w:sz w:val="17"/>
              </w:rPr>
              <w:t>CRM + channel + routing + workflow + identity</w:t>
            </w:r>
          </w:p>
        </w:tc>
        <w:tc>
          <w:tcPr>
            <w:tcW w:type="dxa" w:w="4176"/>
            <w:vAlign w:val="center"/>
            <w:tcMar>
              <w:top w:w="90" w:type="dxa"/>
              <w:start w:w="120" w:type="dxa"/>
              <w:bottom w:w="90" w:type="dxa"/>
              <w:end w:w="120" w:type="dxa"/>
            </w:tcMar>
          </w:tcPr>
          <w:p>
            <w:pPr>
              <w:spacing w:after="0" w:line="245" w:lineRule="auto"/>
            </w:pPr>
            <w:r>
              <w:rPr>
                <w:rFonts w:ascii="Aptos" w:hAnsi="Aptos"/>
                <w:b w:val="0"/>
                <w:color w:val="17212B"/>
                <w:sz w:val="17"/>
              </w:rPr>
              <w:t>Use a single capacity truth and let context drive actions.</w:t>
            </w:r>
          </w:p>
        </w:tc>
      </w:tr>
      <w:tr>
        <w:trPr>
          <w:cantSplit/>
        </w:trPr>
        <w:tc>
          <w:tcPr>
            <w:tcW w:type="dxa" w:w="1800"/>
            <w:vAlign w:val="center"/>
            <w:shd w:fill="F8FAFB"/>
            <w:tcMar>
              <w:top w:w="90" w:type="dxa"/>
              <w:start w:w="120" w:type="dxa"/>
              <w:bottom w:w="90" w:type="dxa"/>
              <w:end w:w="120" w:type="dxa"/>
            </w:tcMar>
          </w:tcPr>
          <w:p>
            <w:pPr>
              <w:spacing w:after="0" w:line="245" w:lineRule="auto"/>
            </w:pPr>
            <w:r>
              <w:rPr>
                <w:rFonts w:ascii="Aptos" w:hAnsi="Aptos"/>
                <w:b/>
                <w:color w:val="17212B"/>
                <w:sz w:val="17"/>
              </w:rPr>
              <w:t>Genesys</w:t>
            </w:r>
          </w:p>
        </w:tc>
        <w:tc>
          <w:tcPr>
            <w:tcW w:type="dxa" w:w="3384"/>
            <w:vAlign w:val="center"/>
            <w:shd w:fill="F8FAFB"/>
            <w:tcMar>
              <w:top w:w="90" w:type="dxa"/>
              <w:start w:w="120" w:type="dxa"/>
              <w:bottom w:w="90" w:type="dxa"/>
              <w:end w:w="120" w:type="dxa"/>
            </w:tcMar>
          </w:tcPr>
          <w:p>
            <w:pPr>
              <w:spacing w:after="0" w:line="245" w:lineRule="auto"/>
            </w:pPr>
            <w:r>
              <w:rPr>
                <w:rFonts w:ascii="Aptos" w:hAnsi="Aptos"/>
                <w:b w:val="0"/>
                <w:color w:val="17212B"/>
                <w:sz w:val="17"/>
              </w:rPr>
              <w:t>Predictive/bullseye/preferred-agent routing</w:t>
            </w:r>
          </w:p>
        </w:tc>
        <w:tc>
          <w:tcPr>
            <w:tcW w:type="dxa" w:w="4176"/>
            <w:vAlign w:val="center"/>
            <w:shd w:fill="F8FAFB"/>
            <w:tcMar>
              <w:top w:w="90" w:type="dxa"/>
              <w:start w:w="120" w:type="dxa"/>
              <w:bottom w:w="90" w:type="dxa"/>
              <w:end w:w="120" w:type="dxa"/>
            </w:tcMar>
          </w:tcPr>
          <w:p>
            <w:pPr>
              <w:spacing w:after="0" w:line="245" w:lineRule="auto"/>
            </w:pPr>
            <w:r>
              <w:rPr>
                <w:rFonts w:ascii="Aptos" w:hAnsi="Aptos"/>
                <w:b w:val="0"/>
                <w:color w:val="17212B"/>
                <w:sz w:val="17"/>
              </w:rPr>
              <w:t>Simulate and optimise routing against explicit KPIs.</w:t>
            </w:r>
          </w:p>
        </w:tc>
      </w:tr>
      <w:tr>
        <w:trPr>
          <w:cantSplit/>
        </w:trPr>
        <w:tc>
          <w:tcPr>
            <w:tcW w:type="dxa" w:w="1800"/>
            <w:vAlign w:val="center"/>
            <w:tcMar>
              <w:top w:w="90" w:type="dxa"/>
              <w:start w:w="120" w:type="dxa"/>
              <w:bottom w:w="90" w:type="dxa"/>
              <w:end w:w="120" w:type="dxa"/>
            </w:tcMar>
          </w:tcPr>
          <w:p>
            <w:pPr>
              <w:spacing w:after="0" w:line="245" w:lineRule="auto"/>
            </w:pPr>
            <w:r>
              <w:rPr>
                <w:rFonts w:ascii="Aptos" w:hAnsi="Aptos"/>
                <w:b/>
                <w:color w:val="17212B"/>
                <w:sz w:val="17"/>
              </w:rPr>
              <w:t>NICE</w:t>
            </w:r>
          </w:p>
        </w:tc>
        <w:tc>
          <w:tcPr>
            <w:tcW w:type="dxa" w:w="3384"/>
            <w:vAlign w:val="center"/>
            <w:tcMar>
              <w:top w:w="90" w:type="dxa"/>
              <w:start w:w="120" w:type="dxa"/>
              <w:bottom w:w="90" w:type="dxa"/>
              <w:end w:w="120" w:type="dxa"/>
            </w:tcMar>
          </w:tcPr>
          <w:p>
            <w:pPr>
              <w:spacing w:after="0" w:line="245" w:lineRule="auto"/>
            </w:pPr>
            <w:r>
              <w:rPr>
                <w:rFonts w:ascii="Aptos" w:hAnsi="Aptos"/>
                <w:b w:val="0"/>
                <w:color w:val="17212B"/>
                <w:sz w:val="17"/>
              </w:rPr>
              <w:t>Supervisor, quality, WEM and continuous compliance</w:t>
            </w:r>
          </w:p>
        </w:tc>
        <w:tc>
          <w:tcPr>
            <w:tcW w:type="dxa" w:w="4176"/>
            <w:vAlign w:val="center"/>
            <w:tcMar>
              <w:top w:w="90" w:type="dxa"/>
              <w:start w:w="120" w:type="dxa"/>
              <w:bottom w:w="90" w:type="dxa"/>
              <w:end w:w="120" w:type="dxa"/>
            </w:tcMar>
          </w:tcPr>
          <w:p>
            <w:pPr>
              <w:spacing w:after="0" w:line="245" w:lineRule="auto"/>
            </w:pPr>
            <w:r>
              <w:rPr>
                <w:rFonts w:ascii="Aptos" w:hAnsi="Aptos"/>
                <w:b w:val="0"/>
                <w:color w:val="17212B"/>
                <w:sz w:val="17"/>
              </w:rPr>
              <w:t>Make operations and governance first-class, not reporting afterthoughts.</w:t>
            </w:r>
          </w:p>
        </w:tc>
      </w:tr>
      <w:tr>
        <w:trPr>
          <w:cantSplit/>
        </w:trPr>
        <w:tc>
          <w:tcPr>
            <w:tcW w:type="dxa" w:w="1800"/>
            <w:vAlign w:val="center"/>
            <w:shd w:fill="F8FAFB"/>
            <w:tcMar>
              <w:top w:w="90" w:type="dxa"/>
              <w:start w:w="120" w:type="dxa"/>
              <w:bottom w:w="90" w:type="dxa"/>
              <w:end w:w="120" w:type="dxa"/>
            </w:tcMar>
          </w:tcPr>
          <w:p>
            <w:pPr>
              <w:spacing w:after="0" w:line="245" w:lineRule="auto"/>
            </w:pPr>
            <w:r>
              <w:rPr>
                <w:rFonts w:ascii="Aptos" w:hAnsi="Aptos"/>
                <w:b/>
                <w:color w:val="17212B"/>
                <w:sz w:val="17"/>
              </w:rPr>
              <w:t>Talkdesk</w:t>
            </w:r>
          </w:p>
        </w:tc>
        <w:tc>
          <w:tcPr>
            <w:tcW w:type="dxa" w:w="3384"/>
            <w:vAlign w:val="center"/>
            <w:shd w:fill="F8FAFB"/>
            <w:tcMar>
              <w:top w:w="90" w:type="dxa"/>
              <w:start w:w="120" w:type="dxa"/>
              <w:bottom w:w="90" w:type="dxa"/>
              <w:end w:w="120" w:type="dxa"/>
            </w:tcMar>
          </w:tcPr>
          <w:p>
            <w:pPr>
              <w:spacing w:after="0" w:line="245" w:lineRule="auto"/>
            </w:pPr>
            <w:r>
              <w:rPr>
                <w:rFonts w:ascii="Aptos" w:hAnsi="Aptos"/>
                <w:b w:val="0"/>
                <w:color w:val="17212B"/>
                <w:sz w:val="17"/>
              </w:rPr>
              <w:t>Industry workspace and context-aware copilot</w:t>
            </w:r>
          </w:p>
        </w:tc>
        <w:tc>
          <w:tcPr>
            <w:tcW w:type="dxa" w:w="4176"/>
            <w:vAlign w:val="center"/>
            <w:shd w:fill="F8FAFB"/>
            <w:tcMar>
              <w:top w:w="90" w:type="dxa"/>
              <w:start w:w="120" w:type="dxa"/>
              <w:bottom w:w="90" w:type="dxa"/>
              <w:end w:w="120" w:type="dxa"/>
            </w:tcMar>
          </w:tcPr>
          <w:p>
            <w:pPr>
              <w:spacing w:after="0" w:line="245" w:lineRule="auto"/>
            </w:pPr>
            <w:r>
              <w:rPr>
                <w:rFonts w:ascii="Aptos" w:hAnsi="Aptos"/>
                <w:b w:val="0"/>
                <w:color w:val="17212B"/>
                <w:sz w:val="17"/>
              </w:rPr>
              <w:t>Shape screens and AI around healthcare workflows, not generic support.</w:t>
            </w:r>
          </w:p>
        </w:tc>
      </w:tr>
      <w:tr>
        <w:trPr>
          <w:cantSplit/>
        </w:trPr>
        <w:tc>
          <w:tcPr>
            <w:tcW w:type="dxa" w:w="1800"/>
            <w:vAlign w:val="center"/>
            <w:tcMar>
              <w:top w:w="90" w:type="dxa"/>
              <w:start w:w="120" w:type="dxa"/>
              <w:bottom w:w="90" w:type="dxa"/>
              <w:end w:w="120" w:type="dxa"/>
            </w:tcMar>
          </w:tcPr>
          <w:p>
            <w:pPr>
              <w:spacing w:after="0" w:line="245" w:lineRule="auto"/>
            </w:pPr>
            <w:r>
              <w:rPr>
                <w:rFonts w:ascii="Aptos" w:hAnsi="Aptos"/>
                <w:b/>
                <w:color w:val="17212B"/>
                <w:sz w:val="17"/>
              </w:rPr>
              <w:t>Front</w:t>
            </w:r>
          </w:p>
        </w:tc>
        <w:tc>
          <w:tcPr>
            <w:tcW w:type="dxa" w:w="3384"/>
            <w:vAlign w:val="center"/>
            <w:tcMar>
              <w:top w:w="90" w:type="dxa"/>
              <w:start w:w="120" w:type="dxa"/>
              <w:bottom w:w="90" w:type="dxa"/>
              <w:end w:w="120" w:type="dxa"/>
            </w:tcMar>
          </w:tcPr>
          <w:p>
            <w:pPr>
              <w:spacing w:after="0" w:line="245" w:lineRule="auto"/>
            </w:pPr>
            <w:r>
              <w:rPr>
                <w:rFonts w:ascii="Aptos" w:hAnsi="Aptos"/>
                <w:b w:val="0"/>
                <w:color w:val="17212B"/>
                <w:sz w:val="17"/>
              </w:rPr>
              <w:t>Collaboration, collision detection and approachable shared inbox</w:t>
            </w:r>
          </w:p>
        </w:tc>
        <w:tc>
          <w:tcPr>
            <w:tcW w:type="dxa" w:w="4176"/>
            <w:vAlign w:val="center"/>
            <w:tcMar>
              <w:top w:w="90" w:type="dxa"/>
              <w:start w:w="120" w:type="dxa"/>
              <w:bottom w:w="90" w:type="dxa"/>
              <w:end w:w="120" w:type="dxa"/>
            </w:tcMar>
          </w:tcPr>
          <w:p>
            <w:pPr>
              <w:spacing w:after="0" w:line="245" w:lineRule="auto"/>
            </w:pPr>
            <w:r>
              <w:rPr>
                <w:rFonts w:ascii="Aptos" w:hAnsi="Aptos"/>
                <w:b w:val="0"/>
                <w:color w:val="17212B"/>
                <w:sz w:val="17"/>
              </w:rPr>
              <w:t>Make co-ownership visible and prevent duplicate replies.</w:t>
            </w:r>
          </w:p>
        </w:tc>
      </w:tr>
      <w:tr>
        <w:trPr>
          <w:cantSplit/>
        </w:trPr>
        <w:tc>
          <w:tcPr>
            <w:tcW w:type="dxa" w:w="1800"/>
            <w:vAlign w:val="center"/>
            <w:shd w:fill="F8FAFB"/>
            <w:tcMar>
              <w:top w:w="90" w:type="dxa"/>
              <w:start w:w="120" w:type="dxa"/>
              <w:bottom w:w="90" w:type="dxa"/>
              <w:end w:w="120" w:type="dxa"/>
            </w:tcMar>
          </w:tcPr>
          <w:p>
            <w:pPr>
              <w:spacing w:after="0" w:line="245" w:lineRule="auto"/>
            </w:pPr>
            <w:r>
              <w:rPr>
                <w:rFonts w:ascii="Aptos" w:hAnsi="Aptos"/>
                <w:b/>
                <w:color w:val="17212B"/>
                <w:sz w:val="17"/>
              </w:rPr>
              <w:t>Kustomer</w:t>
            </w:r>
          </w:p>
        </w:tc>
        <w:tc>
          <w:tcPr>
            <w:tcW w:type="dxa" w:w="3384"/>
            <w:vAlign w:val="center"/>
            <w:shd w:fill="F8FAFB"/>
            <w:tcMar>
              <w:top w:w="90" w:type="dxa"/>
              <w:start w:w="120" w:type="dxa"/>
              <w:bottom w:w="90" w:type="dxa"/>
              <w:end w:w="120" w:type="dxa"/>
            </w:tcMar>
          </w:tcPr>
          <w:p>
            <w:pPr>
              <w:spacing w:after="0" w:line="245" w:lineRule="auto"/>
            </w:pPr>
            <w:r>
              <w:rPr>
                <w:rFonts w:ascii="Aptos" w:hAnsi="Aptos"/>
                <w:b w:val="0"/>
                <w:color w:val="17212B"/>
                <w:sz w:val="17"/>
              </w:rPr>
              <w:t>Customer timeline with all interaction types</w:t>
            </w:r>
          </w:p>
        </w:tc>
        <w:tc>
          <w:tcPr>
            <w:tcW w:type="dxa" w:w="4176"/>
            <w:vAlign w:val="center"/>
            <w:shd w:fill="F8FAFB"/>
            <w:tcMar>
              <w:top w:w="90" w:type="dxa"/>
              <w:start w:w="120" w:type="dxa"/>
              <w:bottom w:w="90" w:type="dxa"/>
              <w:end w:w="120" w:type="dxa"/>
            </w:tcMar>
          </w:tcPr>
          <w:p>
            <w:pPr>
              <w:spacing w:after="0" w:line="245" w:lineRule="auto"/>
            </w:pPr>
            <w:r>
              <w:rPr>
                <w:rFonts w:ascii="Aptos" w:hAnsi="Aptos"/>
                <w:b w:val="0"/>
                <w:color w:val="17212B"/>
                <w:sz w:val="17"/>
              </w:rPr>
              <w:t>Use a unified chronology, adapted to caller–patient relationships.</w:t>
            </w:r>
          </w:p>
        </w:tc>
      </w:tr>
      <w:tr>
        <w:trPr>
          <w:cantSplit/>
        </w:trPr>
        <w:tc>
          <w:tcPr>
            <w:tcW w:type="dxa" w:w="1800"/>
            <w:vAlign w:val="center"/>
            <w:tcMar>
              <w:top w:w="90" w:type="dxa"/>
              <w:start w:w="120" w:type="dxa"/>
              <w:bottom w:w="90" w:type="dxa"/>
              <w:end w:w="120" w:type="dxa"/>
            </w:tcMar>
          </w:tcPr>
          <w:p>
            <w:pPr>
              <w:spacing w:after="0" w:line="245" w:lineRule="auto"/>
            </w:pPr>
            <w:r>
              <w:rPr>
                <w:rFonts w:ascii="Aptos" w:hAnsi="Aptos"/>
                <w:b/>
                <w:color w:val="17212B"/>
                <w:sz w:val="17"/>
              </w:rPr>
              <w:t>Respond.io / SleekFlow</w:t>
            </w:r>
          </w:p>
        </w:tc>
        <w:tc>
          <w:tcPr>
            <w:tcW w:type="dxa" w:w="3384"/>
            <w:vAlign w:val="center"/>
            <w:tcMar>
              <w:top w:w="90" w:type="dxa"/>
              <w:start w:w="120" w:type="dxa"/>
              <w:bottom w:w="90" w:type="dxa"/>
              <w:end w:w="120" w:type="dxa"/>
            </w:tcMar>
          </w:tcPr>
          <w:p>
            <w:pPr>
              <w:spacing w:after="0" w:line="245" w:lineRule="auto"/>
            </w:pPr>
            <w:r>
              <w:rPr>
                <w:rFonts w:ascii="Aptos" w:hAnsi="Aptos"/>
                <w:b w:val="0"/>
                <w:color w:val="17212B"/>
                <w:sz w:val="17"/>
              </w:rPr>
              <w:t>APAC messaging breadth, AI handoff, execution trace</w:t>
            </w:r>
          </w:p>
        </w:tc>
        <w:tc>
          <w:tcPr>
            <w:tcW w:type="dxa" w:w="4176"/>
            <w:vAlign w:val="center"/>
            <w:tcMar>
              <w:top w:w="90" w:type="dxa"/>
              <w:start w:w="120" w:type="dxa"/>
              <w:bottom w:w="90" w:type="dxa"/>
              <w:end w:w="120" w:type="dxa"/>
            </w:tcMar>
          </w:tcPr>
          <w:p>
            <w:pPr>
              <w:spacing w:after="0" w:line="245" w:lineRule="auto"/>
            </w:pPr>
            <w:r>
              <w:rPr>
                <w:rFonts w:ascii="Aptos" w:hAnsi="Aptos"/>
                <w:b w:val="0"/>
                <w:color w:val="17212B"/>
                <w:sz w:val="17"/>
              </w:rPr>
              <w:t>Optimise for Zalo/WhatsApp/social realities and expose AI reasoning evidence.</w:t>
            </w:r>
          </w:p>
        </w:tc>
      </w:tr>
      <w:tr>
        <w:trPr>
          <w:cantSplit/>
        </w:trPr>
        <w:tc>
          <w:tcPr>
            <w:tcW w:type="dxa" w:w="1800"/>
            <w:vAlign w:val="center"/>
            <w:shd w:fill="F8FAFB"/>
            <w:tcMar>
              <w:top w:w="90" w:type="dxa"/>
              <w:start w:w="120" w:type="dxa"/>
              <w:bottom w:w="90" w:type="dxa"/>
              <w:end w:w="120" w:type="dxa"/>
            </w:tcMar>
          </w:tcPr>
          <w:p>
            <w:pPr>
              <w:spacing w:after="0" w:line="245" w:lineRule="auto"/>
            </w:pPr>
            <w:r>
              <w:rPr>
                <w:rFonts w:ascii="Aptos" w:hAnsi="Aptos"/>
                <w:b/>
                <w:color w:val="17212B"/>
                <w:sz w:val="17"/>
              </w:rPr>
              <w:t>Zalo OA/ZCC</w:t>
            </w:r>
          </w:p>
        </w:tc>
        <w:tc>
          <w:tcPr>
            <w:tcW w:type="dxa" w:w="3384"/>
            <w:vAlign w:val="center"/>
            <w:shd w:fill="F8FAFB"/>
            <w:tcMar>
              <w:top w:w="90" w:type="dxa"/>
              <w:start w:w="120" w:type="dxa"/>
              <w:bottom w:w="90" w:type="dxa"/>
              <w:end w:w="120" w:type="dxa"/>
            </w:tcMar>
          </w:tcPr>
          <w:p>
            <w:pPr>
              <w:spacing w:after="0" w:line="245" w:lineRule="auto"/>
            </w:pPr>
            <w:r>
              <w:rPr>
                <w:rFonts w:ascii="Aptos" w:hAnsi="Aptos"/>
                <w:b w:val="0"/>
                <w:color w:val="17212B"/>
                <w:sz w:val="17"/>
              </w:rPr>
              <w:t>Vietnam-native messaging, OA voice, UID and SIP integration</w:t>
            </w:r>
          </w:p>
        </w:tc>
        <w:tc>
          <w:tcPr>
            <w:tcW w:type="dxa" w:w="4176"/>
            <w:vAlign w:val="center"/>
            <w:shd w:fill="F8FAFB"/>
            <w:tcMar>
              <w:top w:w="90" w:type="dxa"/>
              <w:start w:w="120" w:type="dxa"/>
              <w:bottom w:w="90" w:type="dxa"/>
              <w:end w:w="120" w:type="dxa"/>
            </w:tcMar>
          </w:tcPr>
          <w:p>
            <w:pPr>
              <w:spacing w:after="0" w:line="245" w:lineRule="auto"/>
            </w:pPr>
            <w:r>
              <w:rPr>
                <w:rFonts w:ascii="Aptos" w:hAnsi="Aptos"/>
                <w:b w:val="0"/>
                <w:color w:val="17212B"/>
                <w:sz w:val="17"/>
              </w:rPr>
              <w:t>Treat Zalo as a first-class transport with explicit policy/identity constraints.</w:t>
            </w:r>
          </w:p>
        </w:tc>
      </w:tr>
    </w:tbl>
    <w:p>
      <w:pPr>
        <w:spacing w:after="20"/>
      </w:pPr>
    </w:p>
    <w:p>
      <w:pPr>
        <w:pStyle w:val="Heading1"/>
      </w:pPr>
      <w:r>
        <w:t>6. Differentiated Health19 experience</w:t>
      </w:r>
    </w:p>
    <w:p>
      <w:pPr>
        <w:pStyle w:val="Heading2"/>
      </w:pPr>
      <w:r>
        <w:t>6.1 The “Care Command” information architecture</w:t>
      </w:r>
    </w:p>
    <w:tbl>
      <w:tblPr>
        <w:tblW w:type="dxa" w:w="936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2232"/>
        <w:gridCol w:w="4320"/>
        <w:gridCol w:w="2808"/>
      </w:tblGrid>
      <w:tr>
        <w:trPr>
          <w:tblHeader w:val="true"/>
          <w:cantSplit/>
        </w:trPr>
        <w:tc>
          <w:tcPr>
            <w:tcW w:type="dxa" w:w="2232"/>
            <w:shd w:fill="0B2545"/>
            <w:vAlign w:val="center"/>
            <w:tcMar>
              <w:top w:w="90" w:type="dxa"/>
              <w:start w:w="120" w:type="dxa"/>
              <w:bottom w:w="90" w:type="dxa"/>
              <w:end w:w="120" w:type="dxa"/>
            </w:tcMar>
          </w:tcPr>
          <w:p>
            <w:pPr>
              <w:spacing w:after="0"/>
              <w:jc w:val="left"/>
            </w:pPr>
            <w:r>
              <w:rPr>
                <w:rFonts w:ascii="Aptos" w:hAnsi="Aptos"/>
                <w:b/>
                <w:color w:val="FFFFFF"/>
                <w:sz w:val="18"/>
              </w:rPr>
              <w:t>Zone</w:t>
            </w:r>
          </w:p>
        </w:tc>
        <w:tc>
          <w:tcPr>
            <w:tcW w:type="dxa" w:w="4320"/>
            <w:shd w:fill="0B2545"/>
            <w:vAlign w:val="center"/>
            <w:tcMar>
              <w:top w:w="90" w:type="dxa"/>
              <w:start w:w="120" w:type="dxa"/>
              <w:bottom w:w="90" w:type="dxa"/>
              <w:end w:w="120" w:type="dxa"/>
            </w:tcMar>
          </w:tcPr>
          <w:p>
            <w:pPr>
              <w:spacing w:after="0"/>
              <w:jc w:val="left"/>
            </w:pPr>
            <w:r>
              <w:rPr>
                <w:rFonts w:ascii="Aptos" w:hAnsi="Aptos"/>
                <w:b/>
                <w:color w:val="FFFFFF"/>
                <w:sz w:val="18"/>
              </w:rPr>
              <w:t>Default content</w:t>
            </w:r>
          </w:p>
        </w:tc>
        <w:tc>
          <w:tcPr>
            <w:tcW w:type="dxa" w:w="2808"/>
            <w:shd w:fill="0B2545"/>
            <w:vAlign w:val="center"/>
            <w:tcMar>
              <w:top w:w="90" w:type="dxa"/>
              <w:start w:w="120" w:type="dxa"/>
              <w:bottom w:w="90" w:type="dxa"/>
              <w:end w:w="120" w:type="dxa"/>
            </w:tcMar>
          </w:tcPr>
          <w:p>
            <w:pPr>
              <w:spacing w:after="0"/>
              <w:jc w:val="left"/>
            </w:pPr>
            <w:r>
              <w:rPr>
                <w:rFonts w:ascii="Aptos" w:hAnsi="Aptos"/>
                <w:b/>
                <w:color w:val="FFFFFF"/>
                <w:sz w:val="18"/>
              </w:rPr>
              <w:t>Interaction principle</w:t>
            </w:r>
          </w:p>
        </w:tc>
      </w:tr>
      <w:tr>
        <w:trPr>
          <w:cantSplit/>
        </w:trPr>
        <w:tc>
          <w:tcPr>
            <w:tcW w:type="dxa" w:w="2232"/>
            <w:vAlign w:val="center"/>
            <w:tcMar>
              <w:top w:w="90" w:type="dxa"/>
              <w:start w:w="120" w:type="dxa"/>
              <w:bottom w:w="90" w:type="dxa"/>
              <w:end w:w="120" w:type="dxa"/>
            </w:tcMar>
          </w:tcPr>
          <w:p>
            <w:pPr>
              <w:spacing w:after="0" w:line="245" w:lineRule="auto"/>
            </w:pPr>
            <w:r>
              <w:rPr>
                <w:rFonts w:ascii="Aptos" w:hAnsi="Aptos"/>
                <w:b/>
                <w:color w:val="17212B"/>
                <w:sz w:val="18"/>
              </w:rPr>
              <w:t>1. Command rail (72–240 px)</w:t>
            </w:r>
          </w:p>
        </w:tc>
        <w:tc>
          <w:tcPr>
            <w:tcW w:type="dxa" w:w="4320"/>
            <w:vAlign w:val="center"/>
            <w:tcMar>
              <w:top w:w="90" w:type="dxa"/>
              <w:start w:w="120" w:type="dxa"/>
              <w:bottom w:w="90" w:type="dxa"/>
              <w:end w:w="120" w:type="dxa"/>
            </w:tcMar>
          </w:tcPr>
          <w:p>
            <w:pPr>
              <w:spacing w:after="0" w:line="245" w:lineRule="auto"/>
            </w:pPr>
            <w:r>
              <w:rPr>
                <w:rFonts w:ascii="Aptos" w:hAnsi="Aptos"/>
                <w:b w:val="0"/>
                <w:color w:val="17212B"/>
                <w:sz w:val="18"/>
              </w:rPr>
              <w:t>My work, unassigned, callbacks, risk, follow-up, supervisor, channel health</w:t>
            </w:r>
          </w:p>
        </w:tc>
        <w:tc>
          <w:tcPr>
            <w:tcW w:type="dxa" w:w="2808"/>
            <w:vAlign w:val="center"/>
            <w:tcMar>
              <w:top w:w="90" w:type="dxa"/>
              <w:start w:w="120" w:type="dxa"/>
              <w:bottom w:w="90" w:type="dxa"/>
              <w:end w:w="120" w:type="dxa"/>
            </w:tcMar>
          </w:tcPr>
          <w:p>
            <w:pPr>
              <w:spacing w:after="0" w:line="245" w:lineRule="auto"/>
            </w:pPr>
            <w:r>
              <w:rPr>
                <w:rFonts w:ascii="Aptos" w:hAnsi="Aptos"/>
                <w:b w:val="0"/>
                <w:color w:val="17212B"/>
                <w:sz w:val="18"/>
              </w:rPr>
              <w:t>Persistent, keyboard reachable, role-aware</w:t>
            </w:r>
          </w:p>
        </w:tc>
      </w:tr>
      <w:tr>
        <w:trPr>
          <w:cantSplit/>
        </w:trPr>
        <w:tc>
          <w:tcPr>
            <w:tcW w:type="dxa" w:w="2232"/>
            <w:vAlign w:val="center"/>
            <w:shd w:fill="F8FAFB"/>
            <w:tcMar>
              <w:top w:w="90" w:type="dxa"/>
              <w:start w:w="120" w:type="dxa"/>
              <w:bottom w:w="90" w:type="dxa"/>
              <w:end w:w="120" w:type="dxa"/>
            </w:tcMar>
          </w:tcPr>
          <w:p>
            <w:pPr>
              <w:spacing w:after="0" w:line="245" w:lineRule="auto"/>
            </w:pPr>
            <w:r>
              <w:rPr>
                <w:rFonts w:ascii="Aptos" w:hAnsi="Aptos"/>
                <w:b/>
                <w:color w:val="17212B"/>
                <w:sz w:val="18"/>
              </w:rPr>
              <w:t>2. Queue (320–380 px)</w:t>
            </w:r>
          </w:p>
        </w:tc>
        <w:tc>
          <w:tcPr>
            <w:tcW w:type="dxa" w:w="4320"/>
            <w:vAlign w:val="center"/>
            <w:shd w:fill="F8FAFB"/>
            <w:tcMar>
              <w:top w:w="90" w:type="dxa"/>
              <w:start w:w="120" w:type="dxa"/>
              <w:bottom w:w="90" w:type="dxa"/>
              <w:end w:w="120" w:type="dxa"/>
            </w:tcMar>
          </w:tcPr>
          <w:p>
            <w:pPr>
              <w:spacing w:after="0" w:line="245" w:lineRule="auto"/>
            </w:pPr>
            <w:r>
              <w:rPr>
                <w:rFonts w:ascii="Aptos" w:hAnsi="Aptos"/>
                <w:b w:val="0"/>
                <w:color w:val="17212B"/>
                <w:sz w:val="18"/>
              </w:rPr>
              <w:t>Priority, patient/caller, reason, SLA, channel, owner, last event</w:t>
            </w:r>
          </w:p>
        </w:tc>
        <w:tc>
          <w:tcPr>
            <w:tcW w:type="dxa" w:w="2808"/>
            <w:vAlign w:val="center"/>
            <w:shd w:fill="F8FAFB"/>
            <w:tcMar>
              <w:top w:w="90" w:type="dxa"/>
              <w:start w:w="120" w:type="dxa"/>
              <w:bottom w:w="90" w:type="dxa"/>
              <w:end w:w="120" w:type="dxa"/>
            </w:tcMar>
          </w:tcPr>
          <w:p>
            <w:pPr>
              <w:spacing w:after="0" w:line="245" w:lineRule="auto"/>
            </w:pPr>
            <w:r>
              <w:rPr>
                <w:rFonts w:ascii="Aptos" w:hAnsi="Aptos"/>
                <w:b w:val="0"/>
                <w:color w:val="17212B"/>
                <w:sz w:val="18"/>
              </w:rPr>
              <w:t>Progressive disclosure; one primary urgency cue</w:t>
            </w:r>
          </w:p>
        </w:tc>
      </w:tr>
      <w:tr>
        <w:trPr>
          <w:cantSplit/>
        </w:trPr>
        <w:tc>
          <w:tcPr>
            <w:tcW w:type="dxa" w:w="2232"/>
            <w:vAlign w:val="center"/>
            <w:tcMar>
              <w:top w:w="90" w:type="dxa"/>
              <w:start w:w="120" w:type="dxa"/>
              <w:bottom w:w="90" w:type="dxa"/>
              <w:end w:w="120" w:type="dxa"/>
            </w:tcMar>
          </w:tcPr>
          <w:p>
            <w:pPr>
              <w:spacing w:after="0" w:line="245" w:lineRule="auto"/>
            </w:pPr>
            <w:r>
              <w:rPr>
                <w:rFonts w:ascii="Aptos" w:hAnsi="Aptos"/>
                <w:b/>
                <w:color w:val="17212B"/>
                <w:sz w:val="18"/>
              </w:rPr>
              <w:t>3. Interaction canvas (fluid)</w:t>
            </w:r>
          </w:p>
        </w:tc>
        <w:tc>
          <w:tcPr>
            <w:tcW w:type="dxa" w:w="4320"/>
            <w:vAlign w:val="center"/>
            <w:tcMar>
              <w:top w:w="90" w:type="dxa"/>
              <w:start w:w="120" w:type="dxa"/>
              <w:bottom w:w="90" w:type="dxa"/>
              <w:end w:w="120" w:type="dxa"/>
            </w:tcMar>
          </w:tcPr>
          <w:p>
            <w:pPr>
              <w:spacing w:after="0" w:line="245" w:lineRule="auto"/>
            </w:pPr>
            <w:r>
              <w:rPr>
                <w:rFonts w:ascii="Aptos" w:hAnsi="Aptos"/>
                <w:b w:val="0"/>
                <w:color w:val="17212B"/>
                <w:sz w:val="18"/>
              </w:rPr>
              <w:t>Mixed-channel timeline, call controls, composer, notes, collaboration</w:t>
            </w:r>
          </w:p>
        </w:tc>
        <w:tc>
          <w:tcPr>
            <w:tcW w:type="dxa" w:w="2808"/>
            <w:vAlign w:val="center"/>
            <w:tcMar>
              <w:top w:w="90" w:type="dxa"/>
              <w:start w:w="120" w:type="dxa"/>
              <w:bottom w:w="90" w:type="dxa"/>
              <w:end w:w="120" w:type="dxa"/>
            </w:tcMar>
          </w:tcPr>
          <w:p>
            <w:pPr>
              <w:spacing w:after="0" w:line="245" w:lineRule="auto"/>
            </w:pPr>
            <w:r>
              <w:rPr>
                <w:rFonts w:ascii="Aptos" w:hAnsi="Aptos"/>
                <w:b w:val="0"/>
                <w:color w:val="17212B"/>
                <w:sz w:val="18"/>
              </w:rPr>
              <w:t>Conversation first; events stay chronological across channels</w:t>
            </w:r>
          </w:p>
        </w:tc>
      </w:tr>
      <w:tr>
        <w:trPr>
          <w:cantSplit/>
        </w:trPr>
        <w:tc>
          <w:tcPr>
            <w:tcW w:type="dxa" w:w="2232"/>
            <w:vAlign w:val="center"/>
            <w:shd w:fill="F8FAFB"/>
            <w:tcMar>
              <w:top w:w="90" w:type="dxa"/>
              <w:start w:w="120" w:type="dxa"/>
              <w:bottom w:w="90" w:type="dxa"/>
              <w:end w:w="120" w:type="dxa"/>
            </w:tcMar>
          </w:tcPr>
          <w:p>
            <w:pPr>
              <w:spacing w:after="0" w:line="245" w:lineRule="auto"/>
            </w:pPr>
            <w:r>
              <w:rPr>
                <w:rFonts w:ascii="Aptos" w:hAnsi="Aptos"/>
                <w:b/>
                <w:color w:val="17212B"/>
                <w:sz w:val="18"/>
              </w:rPr>
              <w:t>4. Care context rail (340–400 px)</w:t>
            </w:r>
          </w:p>
        </w:tc>
        <w:tc>
          <w:tcPr>
            <w:tcW w:type="dxa" w:w="4320"/>
            <w:vAlign w:val="center"/>
            <w:shd w:fill="F8FAFB"/>
            <w:tcMar>
              <w:top w:w="90" w:type="dxa"/>
              <w:start w:w="120" w:type="dxa"/>
              <w:bottom w:w="90" w:type="dxa"/>
              <w:end w:w="120" w:type="dxa"/>
            </w:tcMar>
          </w:tcPr>
          <w:p>
            <w:pPr>
              <w:spacing w:after="0" w:line="245" w:lineRule="auto"/>
            </w:pPr>
            <w:r>
              <w:rPr>
                <w:rFonts w:ascii="Aptos" w:hAnsi="Aptos"/>
                <w:b w:val="0"/>
                <w:color w:val="17212B"/>
                <w:sz w:val="18"/>
              </w:rPr>
              <w:t>Continuity Brief, relationship, patient, booking, consent, safety, commitments</w:t>
            </w:r>
          </w:p>
        </w:tc>
        <w:tc>
          <w:tcPr>
            <w:tcW w:type="dxa" w:w="2808"/>
            <w:vAlign w:val="center"/>
            <w:shd w:fill="F8FAFB"/>
            <w:tcMar>
              <w:top w:w="90" w:type="dxa"/>
              <w:start w:w="120" w:type="dxa"/>
              <w:bottom w:w="90" w:type="dxa"/>
              <w:end w:w="120" w:type="dxa"/>
            </w:tcMar>
          </w:tcPr>
          <w:p>
            <w:pPr>
              <w:spacing w:after="0" w:line="245" w:lineRule="auto"/>
            </w:pPr>
            <w:r>
              <w:rPr>
                <w:rFonts w:ascii="Aptos" w:hAnsi="Aptos"/>
                <w:b w:val="0"/>
                <w:color w:val="17212B"/>
                <w:sz w:val="18"/>
              </w:rPr>
              <w:t>Adaptive cards; pin what matters; no tab hunting</w:t>
            </w:r>
          </w:p>
        </w:tc>
      </w:tr>
    </w:tbl>
    <w:p>
      <w:pPr>
        <w:spacing w:after="20"/>
      </w:pPr>
    </w:p>
    <w:p>
      <w:pPr>
        <w:pStyle w:val="Heading2"/>
      </w:pPr>
      <w:r>
        <w:t>6.2 Five-second AI Continuity Brief</w:t>
      </w:r>
    </w:p>
    <w:p>
      <w:pPr>
        <w:pStyle w:val="Recommendation"/>
        <w:keepLines/>
      </w:pPr>
      <w:r>
        <w:rPr>
          <w:rFonts w:ascii="Aptos" w:hAnsi="Aptos"/>
          <w:b/>
          <w:color w:val="0B2545"/>
          <w:sz w:val="20"/>
        </w:rPr>
        <w:t xml:space="preserve">EXAMPLE  </w:t>
      </w:r>
      <w:r>
        <w:rPr>
          <w:rFonts w:ascii="Aptos" w:hAnsi="Aptos"/>
          <w:b w:val="0"/>
          <w:color w:val="17212B"/>
          <w:sz w:val="20"/>
        </w:rPr>
        <w:t>Lan is contacting Health19 for her father, Minh (caregiver relationship verified). She requested a nurse visit yesterday for dizziness. A booking exists tomorrow at 10:30 AM. Her latest Zalo message says the dizziness is worse. No clinical escalation has been recorded. Recommended next action: confirm current red-flag symptoms using the approved script, then escalate to the clinical queue if any trigger is positive.</w:t>
      </w:r>
    </w:p>
    <w:p>
      <w:r>
        <w:rPr>
          <w:rFonts w:ascii="Aptos" w:hAnsi="Aptos"/>
          <w:color w:val="17212B"/>
        </w:rPr>
        <w:t>The brief is a structured UI object, not a paragraph dump. It must show:</w:t>
      </w:r>
    </w:p>
    <w:p>
      <w:pPr>
        <w:pStyle w:val="ListBullet"/>
      </w:pPr>
      <w:r>
        <w:rPr>
          <w:rFonts w:ascii="Aptos" w:hAnsi="Aptos"/>
          <w:color w:val="17212B"/>
          <w:sz w:val="20"/>
        </w:rPr>
        <w:t>Speaker and patient: names, relationship, verification state and ambiguity warning.</w:t>
      </w:r>
    </w:p>
    <w:p>
      <w:pPr>
        <w:pStyle w:val="ListBullet"/>
      </w:pPr>
      <w:r>
        <w:rPr>
          <w:rFonts w:ascii="Aptos" w:hAnsi="Aptos"/>
          <w:color w:val="17212B"/>
          <w:sz w:val="20"/>
        </w:rPr>
        <w:t>Reason now: current intent and what changed since the last contact.</w:t>
      </w:r>
    </w:p>
    <w:p>
      <w:pPr>
        <w:pStyle w:val="ListBullet"/>
      </w:pPr>
      <w:r>
        <w:rPr>
          <w:rFonts w:ascii="Aptos" w:hAnsi="Aptos"/>
          <w:color w:val="17212B"/>
          <w:sz w:val="20"/>
        </w:rPr>
        <w:t>Care state: bookings, service, location, assigned team and recent outcome.</w:t>
      </w:r>
    </w:p>
    <w:p>
      <w:pPr>
        <w:pStyle w:val="ListBullet"/>
      </w:pPr>
      <w:r>
        <w:rPr>
          <w:rFonts w:ascii="Aptos" w:hAnsi="Aptos"/>
          <w:color w:val="17212B"/>
          <w:sz w:val="20"/>
        </w:rPr>
        <w:t>Safety state: non-diagnostic risk signals, protocol trigger and escalation status.</w:t>
      </w:r>
    </w:p>
    <w:p>
      <w:pPr>
        <w:pStyle w:val="ListBullet"/>
      </w:pPr>
      <w:r>
        <w:rPr>
          <w:rFonts w:ascii="Aptos" w:hAnsi="Aptos"/>
          <w:color w:val="17212B"/>
          <w:sz w:val="20"/>
        </w:rPr>
        <w:t>Commitments: promised callbacks, documents, payments or visits with owner and due time.</w:t>
      </w:r>
    </w:p>
    <w:p>
      <w:pPr>
        <w:pStyle w:val="ListBullet"/>
      </w:pPr>
      <w:r>
        <w:rPr>
          <w:rFonts w:ascii="Aptos" w:hAnsi="Aptos"/>
          <w:color w:val="17212B"/>
          <w:sz w:val="20"/>
        </w:rPr>
        <w:t>Consent/privacy: permission to discuss, preferred channel, opt-in window and recording consent.</w:t>
      </w:r>
    </w:p>
    <w:p>
      <w:pPr>
        <w:pStyle w:val="ListBullet"/>
      </w:pPr>
      <w:r>
        <w:rPr>
          <w:rFonts w:ascii="Aptos" w:hAnsi="Aptos"/>
          <w:color w:val="17212B"/>
          <w:sz w:val="20"/>
        </w:rPr>
        <w:t>Recommended action: one primary action and up to two alternatives, with the policy source.</w:t>
      </w:r>
    </w:p>
    <w:p>
      <w:pPr>
        <w:pStyle w:val="ListBullet"/>
      </w:pPr>
      <w:r>
        <w:rPr>
          <w:rFonts w:ascii="Aptos" w:hAnsi="Aptos"/>
          <w:color w:val="17212B"/>
          <w:sz w:val="20"/>
        </w:rPr>
        <w:t>Evidence and freshness: source-event links, generated time, confidence and “refresh” control.</w:t>
      </w:r>
    </w:p>
    <w:p>
      <w:pPr>
        <w:pStyle w:val="Heading2"/>
      </w:pPr>
      <w:r>
        <w:t>6.3 AI features that create defensible differentiation</w:t>
      </w:r>
    </w:p>
    <w:tbl>
      <w:tblPr>
        <w:tblW w:type="dxa" w:w="936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2088"/>
        <w:gridCol w:w="4392"/>
        <w:gridCol w:w="2880"/>
      </w:tblGrid>
      <w:tr>
        <w:trPr>
          <w:tblHeader w:val="true"/>
          <w:cantSplit/>
        </w:trPr>
        <w:tc>
          <w:tcPr>
            <w:tcW w:type="dxa" w:w="2088"/>
            <w:shd w:fill="0E8A7B"/>
            <w:vAlign w:val="center"/>
            <w:tcMar>
              <w:top w:w="90" w:type="dxa"/>
              <w:start w:w="120" w:type="dxa"/>
              <w:bottom w:w="90" w:type="dxa"/>
              <w:end w:w="120" w:type="dxa"/>
            </w:tcMar>
          </w:tcPr>
          <w:p>
            <w:pPr>
              <w:spacing w:after="0"/>
              <w:jc w:val="left"/>
            </w:pPr>
            <w:r>
              <w:rPr>
                <w:rFonts w:ascii="Aptos" w:hAnsi="Aptos"/>
                <w:b/>
                <w:color w:val="FFFFFF"/>
                <w:sz w:val="17"/>
              </w:rPr>
              <w:t>Capability</w:t>
            </w:r>
          </w:p>
        </w:tc>
        <w:tc>
          <w:tcPr>
            <w:tcW w:type="dxa" w:w="4392"/>
            <w:shd w:fill="0E8A7B"/>
            <w:vAlign w:val="center"/>
            <w:tcMar>
              <w:top w:w="90" w:type="dxa"/>
              <w:start w:w="120" w:type="dxa"/>
              <w:bottom w:w="90" w:type="dxa"/>
              <w:end w:w="120" w:type="dxa"/>
            </w:tcMar>
          </w:tcPr>
          <w:p>
            <w:pPr>
              <w:spacing w:after="0"/>
              <w:jc w:val="left"/>
            </w:pPr>
            <w:r>
              <w:rPr>
                <w:rFonts w:ascii="Aptos" w:hAnsi="Aptos"/>
                <w:b/>
                <w:color w:val="FFFFFF"/>
                <w:sz w:val="17"/>
              </w:rPr>
              <w:t>Experience</w:t>
            </w:r>
          </w:p>
        </w:tc>
        <w:tc>
          <w:tcPr>
            <w:tcW w:type="dxa" w:w="2880"/>
            <w:shd w:fill="0E8A7B"/>
            <w:vAlign w:val="center"/>
            <w:tcMar>
              <w:top w:w="90" w:type="dxa"/>
              <w:start w:w="120" w:type="dxa"/>
              <w:bottom w:w="90" w:type="dxa"/>
              <w:end w:w="120" w:type="dxa"/>
            </w:tcMar>
          </w:tcPr>
          <w:p>
            <w:pPr>
              <w:spacing w:after="0"/>
              <w:jc w:val="left"/>
            </w:pPr>
            <w:r>
              <w:rPr>
                <w:rFonts w:ascii="Aptos" w:hAnsi="Aptos"/>
                <w:b/>
                <w:color w:val="FFFFFF"/>
                <w:sz w:val="17"/>
              </w:rPr>
              <w:t>Guardrail</w:t>
            </w:r>
          </w:p>
        </w:tc>
      </w:tr>
      <w:tr>
        <w:trPr>
          <w:cantSplit/>
        </w:trPr>
        <w:tc>
          <w:tcPr>
            <w:tcW w:type="dxa" w:w="2088"/>
            <w:vAlign w:val="center"/>
            <w:tcMar>
              <w:top w:w="90" w:type="dxa"/>
              <w:start w:w="120" w:type="dxa"/>
              <w:bottom w:w="90" w:type="dxa"/>
              <w:end w:w="120" w:type="dxa"/>
            </w:tcMar>
          </w:tcPr>
          <w:p>
            <w:pPr>
              <w:spacing w:after="0" w:line="245" w:lineRule="auto"/>
            </w:pPr>
            <w:r>
              <w:rPr>
                <w:rFonts w:ascii="Aptos" w:hAnsi="Aptos"/>
                <w:b/>
                <w:color w:val="17212B"/>
                <w:sz w:val="17"/>
              </w:rPr>
              <w:t>Continuity Brief</w:t>
            </w:r>
          </w:p>
        </w:tc>
        <w:tc>
          <w:tcPr>
            <w:tcW w:type="dxa" w:w="4392"/>
            <w:vAlign w:val="center"/>
            <w:tcMar>
              <w:top w:w="90" w:type="dxa"/>
              <w:start w:w="120" w:type="dxa"/>
              <w:bottom w:w="90" w:type="dxa"/>
              <w:end w:w="120" w:type="dxa"/>
            </w:tcMar>
          </w:tcPr>
          <w:p>
            <w:pPr>
              <w:spacing w:after="0" w:line="245" w:lineRule="auto"/>
            </w:pPr>
            <w:r>
              <w:rPr>
                <w:rFonts w:ascii="Aptos" w:hAnsi="Aptos"/>
                <w:b w:val="0"/>
                <w:color w:val="17212B"/>
                <w:sz w:val="17"/>
              </w:rPr>
              <w:t>Cross-channel, relationship-aware summary with evidence links</w:t>
            </w:r>
          </w:p>
        </w:tc>
        <w:tc>
          <w:tcPr>
            <w:tcW w:type="dxa" w:w="2880"/>
            <w:vAlign w:val="center"/>
            <w:tcMar>
              <w:top w:w="90" w:type="dxa"/>
              <w:start w:w="120" w:type="dxa"/>
              <w:bottom w:w="90" w:type="dxa"/>
              <w:end w:w="120" w:type="dxa"/>
            </w:tcMar>
          </w:tcPr>
          <w:p>
            <w:pPr>
              <w:spacing w:after="0" w:line="245" w:lineRule="auto"/>
            </w:pPr>
            <w:r>
              <w:rPr>
                <w:rFonts w:ascii="Aptos" w:hAnsi="Aptos"/>
                <w:b w:val="0"/>
                <w:color w:val="17212B"/>
                <w:sz w:val="17"/>
              </w:rPr>
              <w:t>Agent verifies; stale state displayed</w:t>
            </w:r>
          </w:p>
        </w:tc>
      </w:tr>
      <w:tr>
        <w:trPr>
          <w:cantSplit/>
        </w:trPr>
        <w:tc>
          <w:tcPr>
            <w:tcW w:type="dxa" w:w="2088"/>
            <w:vAlign w:val="center"/>
            <w:shd w:fill="F8FAFB"/>
            <w:tcMar>
              <w:top w:w="90" w:type="dxa"/>
              <w:start w:w="120" w:type="dxa"/>
              <w:bottom w:w="90" w:type="dxa"/>
              <w:end w:w="120" w:type="dxa"/>
            </w:tcMar>
          </w:tcPr>
          <w:p>
            <w:pPr>
              <w:spacing w:after="0" w:line="245" w:lineRule="auto"/>
            </w:pPr>
            <w:r>
              <w:rPr>
                <w:rFonts w:ascii="Aptos" w:hAnsi="Aptos"/>
                <w:b/>
                <w:color w:val="17212B"/>
                <w:sz w:val="17"/>
              </w:rPr>
              <w:t>Relationship Resolver</w:t>
            </w:r>
          </w:p>
        </w:tc>
        <w:tc>
          <w:tcPr>
            <w:tcW w:type="dxa" w:w="4392"/>
            <w:vAlign w:val="center"/>
            <w:shd w:fill="F8FAFB"/>
            <w:tcMar>
              <w:top w:w="90" w:type="dxa"/>
              <w:start w:w="120" w:type="dxa"/>
              <w:bottom w:w="90" w:type="dxa"/>
              <w:end w:w="120" w:type="dxa"/>
            </w:tcMar>
          </w:tcPr>
          <w:p>
            <w:pPr>
              <w:spacing w:after="0" w:line="245" w:lineRule="auto"/>
            </w:pPr>
            <w:r>
              <w:rPr>
                <w:rFonts w:ascii="Aptos" w:hAnsi="Aptos"/>
                <w:b w:val="0"/>
                <w:color w:val="17212B"/>
                <w:sz w:val="17"/>
              </w:rPr>
              <w:t>Suggests caller ↔ patient ↔ caregiver/payer/referrer links</w:t>
            </w:r>
          </w:p>
        </w:tc>
        <w:tc>
          <w:tcPr>
            <w:tcW w:type="dxa" w:w="2880"/>
            <w:vAlign w:val="center"/>
            <w:shd w:fill="F8FAFB"/>
            <w:tcMar>
              <w:top w:w="90" w:type="dxa"/>
              <w:start w:w="120" w:type="dxa"/>
              <w:bottom w:w="90" w:type="dxa"/>
              <w:end w:w="120" w:type="dxa"/>
            </w:tcMar>
          </w:tcPr>
          <w:p>
            <w:pPr>
              <w:spacing w:after="0" w:line="245" w:lineRule="auto"/>
            </w:pPr>
            <w:r>
              <w:rPr>
                <w:rFonts w:ascii="Aptos" w:hAnsi="Aptos"/>
                <w:b w:val="0"/>
                <w:color w:val="17212B"/>
                <w:sz w:val="17"/>
              </w:rPr>
              <w:t>Never auto-merges patient identities</w:t>
            </w:r>
          </w:p>
        </w:tc>
      </w:tr>
      <w:tr>
        <w:trPr>
          <w:cantSplit/>
        </w:trPr>
        <w:tc>
          <w:tcPr>
            <w:tcW w:type="dxa" w:w="2088"/>
            <w:vAlign w:val="center"/>
            <w:tcMar>
              <w:top w:w="90" w:type="dxa"/>
              <w:start w:w="120" w:type="dxa"/>
              <w:bottom w:w="90" w:type="dxa"/>
              <w:end w:w="120" w:type="dxa"/>
            </w:tcMar>
          </w:tcPr>
          <w:p>
            <w:pPr>
              <w:spacing w:after="0" w:line="245" w:lineRule="auto"/>
            </w:pPr>
            <w:r>
              <w:rPr>
                <w:rFonts w:ascii="Aptos" w:hAnsi="Aptos"/>
                <w:b/>
                <w:color w:val="17212B"/>
                <w:sz w:val="17"/>
              </w:rPr>
              <w:t>Safety Shield</w:t>
            </w:r>
          </w:p>
        </w:tc>
        <w:tc>
          <w:tcPr>
            <w:tcW w:type="dxa" w:w="4392"/>
            <w:vAlign w:val="center"/>
            <w:tcMar>
              <w:top w:w="90" w:type="dxa"/>
              <w:start w:w="120" w:type="dxa"/>
              <w:bottom w:w="90" w:type="dxa"/>
              <w:end w:w="120" w:type="dxa"/>
            </w:tcMar>
          </w:tcPr>
          <w:p>
            <w:pPr>
              <w:spacing w:after="0" w:line="245" w:lineRule="auto"/>
            </w:pPr>
            <w:r>
              <w:rPr>
                <w:rFonts w:ascii="Aptos" w:hAnsi="Aptos"/>
                <w:b w:val="0"/>
                <w:color w:val="17212B"/>
                <w:sz w:val="17"/>
              </w:rPr>
              <w:t>Detects approved red-flag phrases and missing escalation</w:t>
            </w:r>
          </w:p>
        </w:tc>
        <w:tc>
          <w:tcPr>
            <w:tcW w:type="dxa" w:w="2880"/>
            <w:vAlign w:val="center"/>
            <w:tcMar>
              <w:top w:w="90" w:type="dxa"/>
              <w:start w:w="120" w:type="dxa"/>
              <w:bottom w:w="90" w:type="dxa"/>
              <w:end w:w="120" w:type="dxa"/>
            </w:tcMar>
          </w:tcPr>
          <w:p>
            <w:pPr>
              <w:spacing w:after="0" w:line="245" w:lineRule="auto"/>
            </w:pPr>
            <w:r>
              <w:rPr>
                <w:rFonts w:ascii="Aptos" w:hAnsi="Aptos"/>
                <w:b w:val="0"/>
                <w:color w:val="17212B"/>
                <w:sz w:val="17"/>
              </w:rPr>
              <w:t>No diagnosis; deterministic protocol and human escalation</w:t>
            </w:r>
          </w:p>
        </w:tc>
      </w:tr>
      <w:tr>
        <w:trPr>
          <w:cantSplit/>
        </w:trPr>
        <w:tc>
          <w:tcPr>
            <w:tcW w:type="dxa" w:w="2088"/>
            <w:vAlign w:val="center"/>
            <w:shd w:fill="F8FAFB"/>
            <w:tcMar>
              <w:top w:w="90" w:type="dxa"/>
              <w:start w:w="120" w:type="dxa"/>
              <w:bottom w:w="90" w:type="dxa"/>
              <w:end w:w="120" w:type="dxa"/>
            </w:tcMar>
          </w:tcPr>
          <w:p>
            <w:pPr>
              <w:spacing w:after="0" w:line="245" w:lineRule="auto"/>
            </w:pPr>
            <w:r>
              <w:rPr>
                <w:rFonts w:ascii="Aptos" w:hAnsi="Aptos"/>
                <w:b/>
                <w:color w:val="17212B"/>
                <w:sz w:val="17"/>
              </w:rPr>
              <w:t>Next Best Action</w:t>
            </w:r>
          </w:p>
        </w:tc>
        <w:tc>
          <w:tcPr>
            <w:tcW w:type="dxa" w:w="4392"/>
            <w:vAlign w:val="center"/>
            <w:shd w:fill="F8FAFB"/>
            <w:tcMar>
              <w:top w:w="90" w:type="dxa"/>
              <w:start w:w="120" w:type="dxa"/>
              <w:bottom w:w="90" w:type="dxa"/>
              <w:end w:w="120" w:type="dxa"/>
            </w:tcMar>
          </w:tcPr>
          <w:p>
            <w:pPr>
              <w:spacing w:after="0" w:line="245" w:lineRule="auto"/>
            </w:pPr>
            <w:r>
              <w:rPr>
                <w:rFonts w:ascii="Aptos" w:hAnsi="Aptos"/>
                <w:b w:val="0"/>
                <w:color w:val="17212B"/>
                <w:sz w:val="17"/>
              </w:rPr>
              <w:t>Ranks booking, callback, information, consent and escalation actions</w:t>
            </w:r>
          </w:p>
        </w:tc>
        <w:tc>
          <w:tcPr>
            <w:tcW w:type="dxa" w:w="2880"/>
            <w:vAlign w:val="center"/>
            <w:shd w:fill="F8FAFB"/>
            <w:tcMar>
              <w:top w:w="90" w:type="dxa"/>
              <w:start w:w="120" w:type="dxa"/>
              <w:bottom w:w="90" w:type="dxa"/>
              <w:end w:w="120" w:type="dxa"/>
            </w:tcMar>
          </w:tcPr>
          <w:p>
            <w:pPr>
              <w:spacing w:after="0" w:line="245" w:lineRule="auto"/>
            </w:pPr>
            <w:r>
              <w:rPr>
                <w:rFonts w:ascii="Aptos" w:hAnsi="Aptos"/>
                <w:b w:val="0"/>
                <w:color w:val="17212B"/>
                <w:sz w:val="17"/>
              </w:rPr>
              <w:t>Displays why; agent retains control</w:t>
            </w:r>
          </w:p>
        </w:tc>
      </w:tr>
      <w:tr>
        <w:trPr>
          <w:cantSplit/>
        </w:trPr>
        <w:tc>
          <w:tcPr>
            <w:tcW w:type="dxa" w:w="2088"/>
            <w:vAlign w:val="center"/>
            <w:tcMar>
              <w:top w:w="90" w:type="dxa"/>
              <w:start w:w="120" w:type="dxa"/>
              <w:bottom w:w="90" w:type="dxa"/>
              <w:end w:w="120" w:type="dxa"/>
            </w:tcMar>
          </w:tcPr>
          <w:p>
            <w:pPr>
              <w:spacing w:after="0" w:line="245" w:lineRule="auto"/>
            </w:pPr>
            <w:r>
              <w:rPr>
                <w:rFonts w:ascii="Aptos" w:hAnsi="Aptos"/>
                <w:b/>
                <w:color w:val="17212B"/>
                <w:sz w:val="17"/>
              </w:rPr>
              <w:t>Bilingual Care Composer</w:t>
            </w:r>
          </w:p>
        </w:tc>
        <w:tc>
          <w:tcPr>
            <w:tcW w:type="dxa" w:w="4392"/>
            <w:vAlign w:val="center"/>
            <w:tcMar>
              <w:top w:w="90" w:type="dxa"/>
              <w:start w:w="120" w:type="dxa"/>
              <w:bottom w:w="90" w:type="dxa"/>
              <w:end w:w="120" w:type="dxa"/>
            </w:tcMar>
          </w:tcPr>
          <w:p>
            <w:pPr>
              <w:spacing w:after="0" w:line="245" w:lineRule="auto"/>
            </w:pPr>
            <w:r>
              <w:rPr>
                <w:rFonts w:ascii="Aptos" w:hAnsi="Aptos"/>
                <w:b w:val="0"/>
                <w:color w:val="17212B"/>
                <w:sz w:val="17"/>
              </w:rPr>
              <w:t>Drafts Vietnamese/English replies in approved tone and reading level</w:t>
            </w:r>
          </w:p>
        </w:tc>
        <w:tc>
          <w:tcPr>
            <w:tcW w:type="dxa" w:w="2880"/>
            <w:vAlign w:val="center"/>
            <w:tcMar>
              <w:top w:w="90" w:type="dxa"/>
              <w:start w:w="120" w:type="dxa"/>
              <w:bottom w:w="90" w:type="dxa"/>
              <w:end w:w="120" w:type="dxa"/>
            </w:tcMar>
          </w:tcPr>
          <w:p>
            <w:pPr>
              <w:spacing w:after="0" w:line="245" w:lineRule="auto"/>
            </w:pPr>
            <w:r>
              <w:rPr>
                <w:rFonts w:ascii="Aptos" w:hAnsi="Aptos"/>
                <w:b w:val="0"/>
                <w:color w:val="17212B"/>
                <w:sz w:val="17"/>
              </w:rPr>
              <w:t>PHI/channel rules checked before send</w:t>
            </w:r>
          </w:p>
        </w:tc>
      </w:tr>
      <w:tr>
        <w:trPr>
          <w:cantSplit/>
        </w:trPr>
        <w:tc>
          <w:tcPr>
            <w:tcW w:type="dxa" w:w="2088"/>
            <w:vAlign w:val="center"/>
            <w:shd w:fill="F8FAFB"/>
            <w:tcMar>
              <w:top w:w="90" w:type="dxa"/>
              <w:start w:w="120" w:type="dxa"/>
              <w:bottom w:w="90" w:type="dxa"/>
              <w:end w:w="120" w:type="dxa"/>
            </w:tcMar>
          </w:tcPr>
          <w:p>
            <w:pPr>
              <w:spacing w:after="0" w:line="245" w:lineRule="auto"/>
            </w:pPr>
            <w:r>
              <w:rPr>
                <w:rFonts w:ascii="Aptos" w:hAnsi="Aptos"/>
                <w:b/>
                <w:color w:val="17212B"/>
                <w:sz w:val="17"/>
              </w:rPr>
              <w:t>Live Call Companion</w:t>
            </w:r>
          </w:p>
        </w:tc>
        <w:tc>
          <w:tcPr>
            <w:tcW w:type="dxa" w:w="4392"/>
            <w:vAlign w:val="center"/>
            <w:shd w:fill="F8FAFB"/>
            <w:tcMar>
              <w:top w:w="90" w:type="dxa"/>
              <w:start w:w="120" w:type="dxa"/>
              <w:bottom w:w="90" w:type="dxa"/>
              <w:end w:w="120" w:type="dxa"/>
            </w:tcMar>
          </w:tcPr>
          <w:p>
            <w:pPr>
              <w:spacing w:after="0" w:line="245" w:lineRule="auto"/>
            </w:pPr>
            <w:r>
              <w:rPr>
                <w:rFonts w:ascii="Aptos" w:hAnsi="Aptos"/>
                <w:b w:val="0"/>
                <w:color w:val="17212B"/>
                <w:sz w:val="17"/>
              </w:rPr>
              <w:t>Real-time transcript, intent, checklist, knowledge and commitment capture</w:t>
            </w:r>
          </w:p>
        </w:tc>
        <w:tc>
          <w:tcPr>
            <w:tcW w:type="dxa" w:w="2880"/>
            <w:vAlign w:val="center"/>
            <w:shd w:fill="F8FAFB"/>
            <w:tcMar>
              <w:top w:w="90" w:type="dxa"/>
              <w:start w:w="120" w:type="dxa"/>
              <w:bottom w:w="90" w:type="dxa"/>
              <w:end w:w="120" w:type="dxa"/>
            </w:tcMar>
          </w:tcPr>
          <w:p>
            <w:pPr>
              <w:spacing w:after="0" w:line="245" w:lineRule="auto"/>
            </w:pPr>
            <w:r>
              <w:rPr>
                <w:rFonts w:ascii="Aptos" w:hAnsi="Aptos"/>
                <w:b w:val="0"/>
                <w:color w:val="17212B"/>
                <w:sz w:val="17"/>
              </w:rPr>
              <w:t>Recording/transcription consent enforced</w:t>
            </w:r>
          </w:p>
        </w:tc>
      </w:tr>
      <w:tr>
        <w:trPr>
          <w:cantSplit/>
        </w:trPr>
        <w:tc>
          <w:tcPr>
            <w:tcW w:type="dxa" w:w="2088"/>
            <w:vAlign w:val="center"/>
            <w:tcMar>
              <w:top w:w="90" w:type="dxa"/>
              <w:start w:w="120" w:type="dxa"/>
              <w:bottom w:w="90" w:type="dxa"/>
              <w:end w:w="120" w:type="dxa"/>
            </w:tcMar>
          </w:tcPr>
          <w:p>
            <w:pPr>
              <w:spacing w:after="0" w:line="245" w:lineRule="auto"/>
            </w:pPr>
            <w:r>
              <w:rPr>
                <w:rFonts w:ascii="Aptos" w:hAnsi="Aptos"/>
                <w:b/>
                <w:color w:val="17212B"/>
                <w:sz w:val="17"/>
              </w:rPr>
              <w:t>Commitment Ledger</w:t>
            </w:r>
          </w:p>
        </w:tc>
        <w:tc>
          <w:tcPr>
            <w:tcW w:type="dxa" w:w="4392"/>
            <w:vAlign w:val="center"/>
            <w:tcMar>
              <w:top w:w="90" w:type="dxa"/>
              <w:start w:w="120" w:type="dxa"/>
              <w:bottom w:w="90" w:type="dxa"/>
              <w:end w:w="120" w:type="dxa"/>
            </w:tcMar>
          </w:tcPr>
          <w:p>
            <w:pPr>
              <w:spacing w:after="0" w:line="245" w:lineRule="auto"/>
            </w:pPr>
            <w:r>
              <w:rPr>
                <w:rFonts w:ascii="Aptos" w:hAnsi="Aptos"/>
                <w:b w:val="0"/>
                <w:color w:val="17212B"/>
                <w:sz w:val="17"/>
              </w:rPr>
              <w:t>Extracts “I will call/send/book” promises and creates owned tasks</w:t>
            </w:r>
          </w:p>
        </w:tc>
        <w:tc>
          <w:tcPr>
            <w:tcW w:type="dxa" w:w="2880"/>
            <w:vAlign w:val="center"/>
            <w:tcMar>
              <w:top w:w="90" w:type="dxa"/>
              <w:start w:w="120" w:type="dxa"/>
              <w:bottom w:w="90" w:type="dxa"/>
              <w:end w:w="120" w:type="dxa"/>
            </w:tcMar>
          </w:tcPr>
          <w:p>
            <w:pPr>
              <w:spacing w:after="0" w:line="245" w:lineRule="auto"/>
            </w:pPr>
            <w:r>
              <w:rPr>
                <w:rFonts w:ascii="Aptos" w:hAnsi="Aptos"/>
                <w:b w:val="0"/>
                <w:color w:val="17212B"/>
                <w:sz w:val="17"/>
              </w:rPr>
              <w:t>Human confirms before task creation where ambiguous</w:t>
            </w:r>
          </w:p>
        </w:tc>
      </w:tr>
      <w:tr>
        <w:trPr>
          <w:cantSplit/>
        </w:trPr>
        <w:tc>
          <w:tcPr>
            <w:tcW w:type="dxa" w:w="2088"/>
            <w:vAlign w:val="center"/>
            <w:shd w:fill="F8FAFB"/>
            <w:tcMar>
              <w:top w:w="90" w:type="dxa"/>
              <w:start w:w="120" w:type="dxa"/>
              <w:bottom w:w="90" w:type="dxa"/>
              <w:end w:w="120" w:type="dxa"/>
            </w:tcMar>
          </w:tcPr>
          <w:p>
            <w:pPr>
              <w:spacing w:after="0" w:line="245" w:lineRule="auto"/>
            </w:pPr>
            <w:r>
              <w:rPr>
                <w:rFonts w:ascii="Aptos" w:hAnsi="Aptos"/>
                <w:b/>
                <w:color w:val="17212B"/>
                <w:sz w:val="17"/>
              </w:rPr>
              <w:t>After-contact Wrap-up</w:t>
            </w:r>
          </w:p>
        </w:tc>
        <w:tc>
          <w:tcPr>
            <w:tcW w:type="dxa" w:w="4392"/>
            <w:vAlign w:val="center"/>
            <w:shd w:fill="F8FAFB"/>
            <w:tcMar>
              <w:top w:w="90" w:type="dxa"/>
              <w:start w:w="120" w:type="dxa"/>
              <w:bottom w:w="90" w:type="dxa"/>
              <w:end w:w="120" w:type="dxa"/>
            </w:tcMar>
          </w:tcPr>
          <w:p>
            <w:pPr>
              <w:spacing w:after="0" w:line="245" w:lineRule="auto"/>
            </w:pPr>
            <w:r>
              <w:rPr>
                <w:rFonts w:ascii="Aptos" w:hAnsi="Aptos"/>
                <w:b w:val="0"/>
                <w:color w:val="17212B"/>
                <w:sz w:val="17"/>
              </w:rPr>
              <w:t>Summary, outcome, disposition, follow-up and CRM updates</w:t>
            </w:r>
          </w:p>
        </w:tc>
        <w:tc>
          <w:tcPr>
            <w:tcW w:type="dxa" w:w="2880"/>
            <w:vAlign w:val="center"/>
            <w:shd w:fill="F8FAFB"/>
            <w:tcMar>
              <w:top w:w="90" w:type="dxa"/>
              <w:start w:w="120" w:type="dxa"/>
              <w:bottom w:w="90" w:type="dxa"/>
              <w:end w:w="120" w:type="dxa"/>
            </w:tcMar>
          </w:tcPr>
          <w:p>
            <w:pPr>
              <w:spacing w:after="0" w:line="245" w:lineRule="auto"/>
            </w:pPr>
            <w:r>
              <w:rPr>
                <w:rFonts w:ascii="Aptos" w:hAnsi="Aptos"/>
                <w:b w:val="0"/>
                <w:color w:val="17212B"/>
                <w:sz w:val="17"/>
              </w:rPr>
              <w:t>Diff preview; explicit save</w:t>
            </w:r>
          </w:p>
        </w:tc>
      </w:tr>
      <w:tr>
        <w:trPr>
          <w:cantSplit/>
        </w:trPr>
        <w:tc>
          <w:tcPr>
            <w:tcW w:type="dxa" w:w="2088"/>
            <w:vAlign w:val="center"/>
            <w:tcMar>
              <w:top w:w="90" w:type="dxa"/>
              <w:start w:w="120" w:type="dxa"/>
              <w:bottom w:w="90" w:type="dxa"/>
              <w:end w:w="120" w:type="dxa"/>
            </w:tcMar>
          </w:tcPr>
          <w:p>
            <w:pPr>
              <w:spacing w:after="0" w:line="245" w:lineRule="auto"/>
            </w:pPr>
            <w:r>
              <w:rPr>
                <w:rFonts w:ascii="Aptos" w:hAnsi="Aptos"/>
                <w:b/>
                <w:color w:val="17212B"/>
                <w:sz w:val="17"/>
              </w:rPr>
              <w:t>Missed-care Recovery</w:t>
            </w:r>
          </w:p>
        </w:tc>
        <w:tc>
          <w:tcPr>
            <w:tcW w:type="dxa" w:w="4392"/>
            <w:vAlign w:val="center"/>
            <w:tcMar>
              <w:top w:w="90" w:type="dxa"/>
              <w:start w:w="120" w:type="dxa"/>
              <w:bottom w:w="90" w:type="dxa"/>
              <w:end w:w="120" w:type="dxa"/>
            </w:tcMar>
          </w:tcPr>
          <w:p>
            <w:pPr>
              <w:spacing w:after="0" w:line="245" w:lineRule="auto"/>
            </w:pPr>
            <w:r>
              <w:rPr>
                <w:rFonts w:ascii="Aptos" w:hAnsi="Aptos"/>
                <w:b w:val="0"/>
                <w:color w:val="17212B"/>
                <w:sz w:val="17"/>
              </w:rPr>
              <w:t>Prioritises missed calls/no-shows using booking and vulnerability context</w:t>
            </w:r>
          </w:p>
        </w:tc>
        <w:tc>
          <w:tcPr>
            <w:tcW w:type="dxa" w:w="2880"/>
            <w:vAlign w:val="center"/>
            <w:tcMar>
              <w:top w:w="90" w:type="dxa"/>
              <w:start w:w="120" w:type="dxa"/>
              <w:bottom w:w="90" w:type="dxa"/>
              <w:end w:w="120" w:type="dxa"/>
            </w:tcMar>
          </w:tcPr>
          <w:p>
            <w:pPr>
              <w:spacing w:after="0" w:line="245" w:lineRule="auto"/>
            </w:pPr>
            <w:r>
              <w:rPr>
                <w:rFonts w:ascii="Aptos" w:hAnsi="Aptos"/>
                <w:b w:val="0"/>
                <w:color w:val="17212B"/>
                <w:sz w:val="17"/>
              </w:rPr>
              <w:t>No autonomous clinical prioritisation</w:t>
            </w:r>
          </w:p>
        </w:tc>
      </w:tr>
      <w:tr>
        <w:trPr>
          <w:cantSplit/>
        </w:trPr>
        <w:tc>
          <w:tcPr>
            <w:tcW w:type="dxa" w:w="2088"/>
            <w:vAlign w:val="center"/>
            <w:shd w:fill="F8FAFB"/>
            <w:tcMar>
              <w:top w:w="90" w:type="dxa"/>
              <w:start w:w="120" w:type="dxa"/>
              <w:bottom w:w="90" w:type="dxa"/>
              <w:end w:w="120" w:type="dxa"/>
            </w:tcMar>
          </w:tcPr>
          <w:p>
            <w:pPr>
              <w:spacing w:after="0" w:line="245" w:lineRule="auto"/>
            </w:pPr>
            <w:r>
              <w:rPr>
                <w:rFonts w:ascii="Aptos" w:hAnsi="Aptos"/>
                <w:b/>
                <w:color w:val="17212B"/>
                <w:sz w:val="17"/>
              </w:rPr>
              <w:t>Supervisor Radar</w:t>
            </w:r>
          </w:p>
        </w:tc>
        <w:tc>
          <w:tcPr>
            <w:tcW w:type="dxa" w:w="4392"/>
            <w:vAlign w:val="center"/>
            <w:shd w:fill="F8FAFB"/>
            <w:tcMar>
              <w:top w:w="90" w:type="dxa"/>
              <w:start w:w="120" w:type="dxa"/>
              <w:bottom w:w="90" w:type="dxa"/>
              <w:end w:w="120" w:type="dxa"/>
            </w:tcMar>
          </w:tcPr>
          <w:p>
            <w:pPr>
              <w:spacing w:after="0" w:line="245" w:lineRule="auto"/>
            </w:pPr>
            <w:r>
              <w:rPr>
                <w:rFonts w:ascii="Aptos" w:hAnsi="Aptos"/>
                <w:b w:val="0"/>
                <w:color w:val="17212B"/>
                <w:sz w:val="17"/>
              </w:rPr>
              <w:t>Surfaces queue anomalies, repeated contacts, risky silence and AI overrides</w:t>
            </w:r>
          </w:p>
        </w:tc>
        <w:tc>
          <w:tcPr>
            <w:tcW w:type="dxa" w:w="2880"/>
            <w:vAlign w:val="center"/>
            <w:shd w:fill="F8FAFB"/>
            <w:tcMar>
              <w:top w:w="90" w:type="dxa"/>
              <w:start w:w="120" w:type="dxa"/>
              <w:bottom w:w="90" w:type="dxa"/>
              <w:end w:w="120" w:type="dxa"/>
            </w:tcMar>
          </w:tcPr>
          <w:p>
            <w:pPr>
              <w:spacing w:after="0" w:line="245" w:lineRule="auto"/>
            </w:pPr>
            <w:r>
              <w:rPr>
                <w:rFonts w:ascii="Aptos" w:hAnsi="Aptos"/>
                <w:b w:val="0"/>
                <w:color w:val="17212B"/>
                <w:sz w:val="17"/>
              </w:rPr>
              <w:t>Minimum necessary access; no covert staff scoring</w:t>
            </w:r>
          </w:p>
        </w:tc>
      </w:tr>
      <w:tr>
        <w:trPr>
          <w:cantSplit/>
        </w:trPr>
        <w:tc>
          <w:tcPr>
            <w:tcW w:type="dxa" w:w="2088"/>
            <w:vAlign w:val="center"/>
            <w:tcMar>
              <w:top w:w="90" w:type="dxa"/>
              <w:start w:w="120" w:type="dxa"/>
              <w:bottom w:w="90" w:type="dxa"/>
              <w:end w:w="120" w:type="dxa"/>
            </w:tcMar>
          </w:tcPr>
          <w:p>
            <w:pPr>
              <w:spacing w:after="0" w:line="245" w:lineRule="auto"/>
            </w:pPr>
            <w:r>
              <w:rPr>
                <w:rFonts w:ascii="Aptos" w:hAnsi="Aptos"/>
                <w:b/>
                <w:color w:val="17212B"/>
                <w:sz w:val="17"/>
              </w:rPr>
              <w:t>Identity Conflict Guard</w:t>
            </w:r>
          </w:p>
        </w:tc>
        <w:tc>
          <w:tcPr>
            <w:tcW w:type="dxa" w:w="4392"/>
            <w:vAlign w:val="center"/>
            <w:tcMar>
              <w:top w:w="90" w:type="dxa"/>
              <w:start w:w="120" w:type="dxa"/>
              <w:bottom w:w="90" w:type="dxa"/>
              <w:end w:w="120" w:type="dxa"/>
            </w:tcMar>
          </w:tcPr>
          <w:p>
            <w:pPr>
              <w:spacing w:after="0" w:line="245" w:lineRule="auto"/>
            </w:pPr>
            <w:r>
              <w:rPr>
                <w:rFonts w:ascii="Aptos" w:hAnsi="Aptos"/>
                <w:b w:val="0"/>
                <w:color w:val="17212B"/>
                <w:sz w:val="17"/>
              </w:rPr>
              <w:t>Explains matching signals and separates shared-phone households</w:t>
            </w:r>
          </w:p>
        </w:tc>
        <w:tc>
          <w:tcPr>
            <w:tcW w:type="dxa" w:w="2880"/>
            <w:vAlign w:val="center"/>
            <w:tcMar>
              <w:top w:w="90" w:type="dxa"/>
              <w:start w:w="120" w:type="dxa"/>
              <w:bottom w:w="90" w:type="dxa"/>
              <w:end w:w="120" w:type="dxa"/>
            </w:tcMar>
          </w:tcPr>
          <w:p>
            <w:pPr>
              <w:spacing w:after="0" w:line="245" w:lineRule="auto"/>
            </w:pPr>
            <w:r>
              <w:rPr>
                <w:rFonts w:ascii="Aptos" w:hAnsi="Aptos"/>
                <w:b w:val="0"/>
                <w:color w:val="17212B"/>
                <w:sz w:val="17"/>
              </w:rPr>
              <w:t>No silent reassignment or destructive merge</w:t>
            </w:r>
          </w:p>
        </w:tc>
      </w:tr>
      <w:tr>
        <w:trPr>
          <w:cantSplit/>
        </w:trPr>
        <w:tc>
          <w:tcPr>
            <w:tcW w:type="dxa" w:w="2088"/>
            <w:vAlign w:val="center"/>
            <w:shd w:fill="F8FAFB"/>
            <w:tcMar>
              <w:top w:w="90" w:type="dxa"/>
              <w:start w:w="120" w:type="dxa"/>
              <w:bottom w:w="90" w:type="dxa"/>
              <w:end w:w="120" w:type="dxa"/>
            </w:tcMar>
          </w:tcPr>
          <w:p>
            <w:pPr>
              <w:spacing w:after="0" w:line="245" w:lineRule="auto"/>
            </w:pPr>
            <w:r>
              <w:rPr>
                <w:rFonts w:ascii="Aptos" w:hAnsi="Aptos"/>
                <w:b/>
                <w:color w:val="17212B"/>
                <w:sz w:val="17"/>
              </w:rPr>
              <w:t>AI Trace</w:t>
            </w:r>
          </w:p>
        </w:tc>
        <w:tc>
          <w:tcPr>
            <w:tcW w:type="dxa" w:w="4392"/>
            <w:vAlign w:val="center"/>
            <w:shd w:fill="F8FAFB"/>
            <w:tcMar>
              <w:top w:w="90" w:type="dxa"/>
              <w:start w:w="120" w:type="dxa"/>
              <w:bottom w:w="90" w:type="dxa"/>
              <w:end w:w="120" w:type="dxa"/>
            </w:tcMar>
          </w:tcPr>
          <w:p>
            <w:pPr>
              <w:spacing w:after="0" w:line="245" w:lineRule="auto"/>
            </w:pPr>
            <w:r>
              <w:rPr>
                <w:rFonts w:ascii="Aptos" w:hAnsi="Aptos"/>
                <w:b w:val="0"/>
                <w:color w:val="17212B"/>
                <w:sz w:val="17"/>
              </w:rPr>
              <w:t>Shows sources, policy, actions, model/version and user edits</w:t>
            </w:r>
          </w:p>
        </w:tc>
        <w:tc>
          <w:tcPr>
            <w:tcW w:type="dxa" w:w="2880"/>
            <w:vAlign w:val="center"/>
            <w:shd w:fill="F8FAFB"/>
            <w:tcMar>
              <w:top w:w="90" w:type="dxa"/>
              <w:start w:w="120" w:type="dxa"/>
              <w:bottom w:w="90" w:type="dxa"/>
              <w:end w:w="120" w:type="dxa"/>
            </w:tcMar>
          </w:tcPr>
          <w:p>
            <w:pPr>
              <w:spacing w:after="0" w:line="245" w:lineRule="auto"/>
            </w:pPr>
            <w:r>
              <w:rPr>
                <w:rFonts w:ascii="Aptos" w:hAnsi="Aptos"/>
                <w:b w:val="0"/>
                <w:color w:val="17212B"/>
                <w:sz w:val="17"/>
              </w:rPr>
              <w:t>Immutable audit; feedback loop for governance</w:t>
            </w:r>
          </w:p>
        </w:tc>
      </w:tr>
    </w:tbl>
    <w:p>
      <w:pPr>
        <w:spacing w:after="20"/>
      </w:pPr>
    </w:p>
    <w:p>
      <w:pPr>
        <w:pStyle w:val="Heading2"/>
      </w:pPr>
      <w:r>
        <w:t>6.4 Signature micro-interactions</w:t>
      </w:r>
    </w:p>
    <w:p>
      <w:pPr>
        <w:pStyle w:val="ListBullet"/>
      </w:pPr>
      <w:r>
        <w:rPr>
          <w:rFonts w:ascii="Aptos" w:hAnsi="Aptos"/>
          <w:color w:val="17212B"/>
          <w:sz w:val="20"/>
        </w:rPr>
        <w:t>Incoming call “context bloom”: a compact caller card expands into identity candidates, caller–patient relationship and today’s booking before answer.</w:t>
      </w:r>
    </w:p>
    <w:p>
      <w:pPr>
        <w:pStyle w:val="ListBullet"/>
      </w:pPr>
      <w:r>
        <w:rPr>
          <w:rFonts w:ascii="Aptos" w:hAnsi="Aptos"/>
          <w:color w:val="17212B"/>
          <w:sz w:val="20"/>
        </w:rPr>
        <w:t>Hold-to-confirm merge: identity merges require comparison of conflicting fields and a reason; a safe link is offered before a destructive merge.</w:t>
      </w:r>
    </w:p>
    <w:p>
      <w:pPr>
        <w:pStyle w:val="ListBullet"/>
      </w:pPr>
      <w:r>
        <w:rPr>
          <w:rFonts w:ascii="Aptos" w:hAnsi="Aptos"/>
          <w:color w:val="17212B"/>
          <w:sz w:val="20"/>
        </w:rPr>
        <w:t>Live commitment chips: dates, times and promises become reviewable chips beside the composer, then sync to activities only when confirmed.</w:t>
      </w:r>
    </w:p>
    <w:p>
      <w:pPr>
        <w:pStyle w:val="ListBullet"/>
      </w:pPr>
      <w:r>
        <w:rPr>
          <w:rFonts w:ascii="Aptos" w:hAnsi="Aptos"/>
          <w:color w:val="17212B"/>
          <w:sz w:val="20"/>
        </w:rPr>
        <w:t>Safety ribbon: a quiet persistent ribbon shows “No escalation,” “Escalation open” or “Clinician accepted,” with time and owner.</w:t>
      </w:r>
    </w:p>
    <w:p>
      <w:pPr>
        <w:pStyle w:val="ListBullet"/>
      </w:pPr>
      <w:r>
        <w:rPr>
          <w:rFonts w:ascii="Aptos" w:hAnsi="Aptos"/>
          <w:color w:val="17212B"/>
          <w:sz w:val="20"/>
        </w:rPr>
        <w:t>Channel-aware composer: Zalo/WhatsApp windows, attachment limits, templates and consent are visible before the user writes an invalid response.</w:t>
      </w:r>
    </w:p>
    <w:p>
      <w:pPr>
        <w:pStyle w:val="ListBullet"/>
      </w:pPr>
      <w:r>
        <w:rPr>
          <w:rFonts w:ascii="Aptos" w:hAnsi="Aptos"/>
          <w:color w:val="17212B"/>
          <w:sz w:val="20"/>
        </w:rPr>
        <w:t>One-key flow: J/K queue navigation, A assign, C call, R reply, N internal note, B book, E escalate, W wrap up; every shortcut shown in command palette.</w:t>
      </w:r>
    </w:p>
    <w:p>
      <w:pPr>
        <w:pStyle w:val="ListBullet"/>
      </w:pPr>
      <w:r>
        <w:rPr>
          <w:rFonts w:ascii="Aptos" w:hAnsi="Aptos"/>
          <w:color w:val="17212B"/>
          <w:sz w:val="20"/>
        </w:rPr>
        <w:t>Calm mode during voice: queue chrome recedes, transcript and checklist expand, and non-urgent notifications pause.</w:t>
      </w:r>
    </w:p>
    <w:p>
      <w:pPr>
        <w:pStyle w:val="Heading1"/>
      </w:pPr>
      <w:r>
        <w:t>7. Routing, automation and supervision</w:t>
      </w:r>
    </w:p>
    <w:p>
      <w:pPr>
        <w:pStyle w:val="Heading2"/>
      </w:pPr>
      <w:r>
        <w:t>7.1 Constraint-first routing</w:t>
      </w:r>
    </w:p>
    <w:p>
      <w:r>
        <w:rPr>
          <w:rFonts w:ascii="Aptos" w:hAnsi="Aptos"/>
          <w:color w:val="17212B"/>
        </w:rPr>
        <w:t>Do not use round robin as the governing model. Use it only as the final tie-breaker after hard eligibility and continuity rules.</w:t>
      </w:r>
    </w:p>
    <w:tbl>
      <w:tblPr>
        <w:tblW w:type="dxa" w:w="936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864"/>
        <w:gridCol w:w="2951"/>
        <w:gridCol w:w="5544"/>
      </w:tblGrid>
      <w:tr>
        <w:trPr>
          <w:tblHeader w:val="true"/>
          <w:cantSplit/>
        </w:trPr>
        <w:tc>
          <w:tcPr>
            <w:tcW w:type="dxa" w:w="864"/>
            <w:shd w:fill="0B2545"/>
            <w:vAlign w:val="center"/>
            <w:tcMar>
              <w:top w:w="90" w:type="dxa"/>
              <w:start w:w="120" w:type="dxa"/>
              <w:bottom w:w="90" w:type="dxa"/>
              <w:end w:w="120" w:type="dxa"/>
            </w:tcMar>
          </w:tcPr>
          <w:p>
            <w:pPr>
              <w:spacing w:after="0"/>
              <w:jc w:val="left"/>
            </w:pPr>
            <w:r>
              <w:rPr>
                <w:rFonts w:ascii="Aptos" w:hAnsi="Aptos"/>
                <w:b/>
                <w:color w:val="FFFFFF"/>
                <w:sz w:val="18"/>
              </w:rPr>
              <w:t>Order</w:t>
            </w:r>
          </w:p>
        </w:tc>
        <w:tc>
          <w:tcPr>
            <w:tcW w:type="dxa" w:w="2951"/>
            <w:shd w:fill="0B2545"/>
            <w:vAlign w:val="center"/>
            <w:tcMar>
              <w:top w:w="90" w:type="dxa"/>
              <w:start w:w="120" w:type="dxa"/>
              <w:bottom w:w="90" w:type="dxa"/>
              <w:end w:w="120" w:type="dxa"/>
            </w:tcMar>
          </w:tcPr>
          <w:p>
            <w:pPr>
              <w:spacing w:after="0"/>
              <w:jc w:val="left"/>
            </w:pPr>
            <w:r>
              <w:rPr>
                <w:rFonts w:ascii="Aptos" w:hAnsi="Aptos"/>
                <w:b/>
                <w:color w:val="FFFFFF"/>
                <w:sz w:val="18"/>
              </w:rPr>
              <w:t>Decision</w:t>
            </w:r>
          </w:p>
        </w:tc>
        <w:tc>
          <w:tcPr>
            <w:tcW w:type="dxa" w:w="5544"/>
            <w:shd w:fill="0B2545"/>
            <w:vAlign w:val="center"/>
            <w:tcMar>
              <w:top w:w="90" w:type="dxa"/>
              <w:start w:w="120" w:type="dxa"/>
              <w:bottom w:w="90" w:type="dxa"/>
              <w:end w:w="120" w:type="dxa"/>
            </w:tcMar>
          </w:tcPr>
          <w:p>
            <w:pPr>
              <w:spacing w:after="0"/>
              <w:jc w:val="left"/>
            </w:pPr>
            <w:r>
              <w:rPr>
                <w:rFonts w:ascii="Aptos" w:hAnsi="Aptos"/>
                <w:b/>
                <w:color w:val="FFFFFF"/>
                <w:sz w:val="18"/>
              </w:rPr>
              <w:t>Examples</w:t>
            </w:r>
          </w:p>
        </w:tc>
      </w:tr>
      <w:tr>
        <w:trPr>
          <w:cantSplit/>
        </w:trPr>
        <w:tc>
          <w:tcPr>
            <w:tcW w:type="dxa" w:w="864"/>
            <w:vAlign w:val="center"/>
            <w:tcMar>
              <w:top w:w="90" w:type="dxa"/>
              <w:start w:w="120" w:type="dxa"/>
              <w:bottom w:w="90" w:type="dxa"/>
              <w:end w:w="120" w:type="dxa"/>
            </w:tcMar>
          </w:tcPr>
          <w:p>
            <w:pPr>
              <w:spacing w:after="0" w:line="245" w:lineRule="auto"/>
            </w:pPr>
            <w:r>
              <w:rPr>
                <w:rFonts w:ascii="Aptos" w:hAnsi="Aptos"/>
                <w:b/>
                <w:color w:val="17212B"/>
                <w:sz w:val="18"/>
              </w:rPr>
              <w:t>1</w:t>
            </w:r>
          </w:p>
        </w:tc>
        <w:tc>
          <w:tcPr>
            <w:tcW w:type="dxa" w:w="2951"/>
            <w:vAlign w:val="center"/>
            <w:tcMar>
              <w:top w:w="90" w:type="dxa"/>
              <w:start w:w="120" w:type="dxa"/>
              <w:bottom w:w="90" w:type="dxa"/>
              <w:end w:w="120" w:type="dxa"/>
            </w:tcMar>
          </w:tcPr>
          <w:p>
            <w:pPr>
              <w:spacing w:after="0" w:line="245" w:lineRule="auto"/>
            </w:pPr>
            <w:r>
              <w:rPr>
                <w:rFonts w:ascii="Aptos" w:hAnsi="Aptos"/>
                <w:b w:val="0"/>
                <w:color w:val="17212B"/>
                <w:sz w:val="18"/>
              </w:rPr>
              <w:t>Safety / legal eligibility</w:t>
            </w:r>
          </w:p>
        </w:tc>
        <w:tc>
          <w:tcPr>
            <w:tcW w:type="dxa" w:w="5544"/>
            <w:vAlign w:val="center"/>
            <w:tcMar>
              <w:top w:w="90" w:type="dxa"/>
              <w:start w:w="120" w:type="dxa"/>
              <w:bottom w:w="90" w:type="dxa"/>
              <w:end w:w="120" w:type="dxa"/>
            </w:tcMar>
          </w:tcPr>
          <w:p>
            <w:pPr>
              <w:spacing w:after="0" w:line="245" w:lineRule="auto"/>
            </w:pPr>
            <w:r>
              <w:rPr>
                <w:rFonts w:ascii="Aptos" w:hAnsi="Aptos"/>
                <w:b w:val="0"/>
                <w:color w:val="17212B"/>
                <w:sz w:val="18"/>
              </w:rPr>
              <w:t>Clinical escalation permission, consent, language, record access</w:t>
            </w:r>
          </w:p>
        </w:tc>
      </w:tr>
      <w:tr>
        <w:trPr>
          <w:cantSplit/>
        </w:trPr>
        <w:tc>
          <w:tcPr>
            <w:tcW w:type="dxa" w:w="864"/>
            <w:vAlign w:val="center"/>
            <w:shd w:fill="F8FAFB"/>
            <w:tcMar>
              <w:top w:w="90" w:type="dxa"/>
              <w:start w:w="120" w:type="dxa"/>
              <w:bottom w:w="90" w:type="dxa"/>
              <w:end w:w="120" w:type="dxa"/>
            </w:tcMar>
          </w:tcPr>
          <w:p>
            <w:pPr>
              <w:spacing w:after="0" w:line="245" w:lineRule="auto"/>
            </w:pPr>
            <w:r>
              <w:rPr>
                <w:rFonts w:ascii="Aptos" w:hAnsi="Aptos"/>
                <w:b/>
                <w:color w:val="17212B"/>
                <w:sz w:val="18"/>
              </w:rPr>
              <w:t>2</w:t>
            </w:r>
          </w:p>
        </w:tc>
        <w:tc>
          <w:tcPr>
            <w:tcW w:type="dxa" w:w="2951"/>
            <w:vAlign w:val="center"/>
            <w:shd w:fill="F8FAFB"/>
            <w:tcMar>
              <w:top w:w="90" w:type="dxa"/>
              <w:start w:w="120" w:type="dxa"/>
              <w:bottom w:w="90" w:type="dxa"/>
              <w:end w:w="120" w:type="dxa"/>
            </w:tcMar>
          </w:tcPr>
          <w:p>
            <w:pPr>
              <w:spacing w:after="0" w:line="245" w:lineRule="auto"/>
            </w:pPr>
            <w:r>
              <w:rPr>
                <w:rFonts w:ascii="Aptos" w:hAnsi="Aptos"/>
                <w:b w:val="0"/>
                <w:color w:val="17212B"/>
                <w:sz w:val="18"/>
              </w:rPr>
              <w:t>Channel eligibility</w:t>
            </w:r>
          </w:p>
        </w:tc>
        <w:tc>
          <w:tcPr>
            <w:tcW w:type="dxa" w:w="5544"/>
            <w:vAlign w:val="center"/>
            <w:shd w:fill="F8FAFB"/>
            <w:tcMar>
              <w:top w:w="90" w:type="dxa"/>
              <w:start w:w="120" w:type="dxa"/>
              <w:bottom w:w="90" w:type="dxa"/>
              <w:end w:w="120" w:type="dxa"/>
            </w:tcMar>
          </w:tcPr>
          <w:p>
            <w:pPr>
              <w:spacing w:after="0" w:line="245" w:lineRule="auto"/>
            </w:pPr>
            <w:r>
              <w:rPr>
                <w:rFonts w:ascii="Aptos" w:hAnsi="Aptos"/>
                <w:b w:val="0"/>
                <w:color w:val="17212B"/>
                <w:sz w:val="18"/>
              </w:rPr>
              <w:t>Zalo-trained, voice-ready, signed in, recording notice enabled</w:t>
            </w:r>
          </w:p>
        </w:tc>
      </w:tr>
      <w:tr>
        <w:trPr>
          <w:cantSplit/>
        </w:trPr>
        <w:tc>
          <w:tcPr>
            <w:tcW w:type="dxa" w:w="864"/>
            <w:vAlign w:val="center"/>
            <w:tcMar>
              <w:top w:w="90" w:type="dxa"/>
              <w:start w:w="120" w:type="dxa"/>
              <w:bottom w:w="90" w:type="dxa"/>
              <w:end w:w="120" w:type="dxa"/>
            </w:tcMar>
          </w:tcPr>
          <w:p>
            <w:pPr>
              <w:spacing w:after="0" w:line="245" w:lineRule="auto"/>
            </w:pPr>
            <w:r>
              <w:rPr>
                <w:rFonts w:ascii="Aptos" w:hAnsi="Aptos"/>
                <w:b/>
                <w:color w:val="17212B"/>
                <w:sz w:val="18"/>
              </w:rPr>
              <w:t>3</w:t>
            </w:r>
          </w:p>
        </w:tc>
        <w:tc>
          <w:tcPr>
            <w:tcW w:type="dxa" w:w="2951"/>
            <w:vAlign w:val="center"/>
            <w:tcMar>
              <w:top w:w="90" w:type="dxa"/>
              <w:start w:w="120" w:type="dxa"/>
              <w:bottom w:w="90" w:type="dxa"/>
              <w:end w:w="120" w:type="dxa"/>
            </w:tcMar>
          </w:tcPr>
          <w:p>
            <w:pPr>
              <w:spacing w:after="0" w:line="245" w:lineRule="auto"/>
            </w:pPr>
            <w:r>
              <w:rPr>
                <w:rFonts w:ascii="Aptos" w:hAnsi="Aptos"/>
                <w:b w:val="0"/>
                <w:color w:val="17212B"/>
                <w:sz w:val="18"/>
              </w:rPr>
              <w:t>Relationship continuity</w:t>
            </w:r>
          </w:p>
        </w:tc>
        <w:tc>
          <w:tcPr>
            <w:tcW w:type="dxa" w:w="5544"/>
            <w:vAlign w:val="center"/>
            <w:tcMar>
              <w:top w:w="90" w:type="dxa"/>
              <w:start w:w="120" w:type="dxa"/>
              <w:bottom w:w="90" w:type="dxa"/>
              <w:end w:w="120" w:type="dxa"/>
            </w:tcMar>
          </w:tcPr>
          <w:p>
            <w:pPr>
              <w:spacing w:after="0" w:line="245" w:lineRule="auto"/>
            </w:pPr>
            <w:r>
              <w:rPr>
                <w:rFonts w:ascii="Aptos" w:hAnsi="Aptos"/>
                <w:b w:val="0"/>
                <w:color w:val="17212B"/>
                <w:sz w:val="18"/>
              </w:rPr>
              <w:t>Current owner, recent agent, named care coordinator</w:t>
            </w:r>
          </w:p>
        </w:tc>
      </w:tr>
      <w:tr>
        <w:trPr>
          <w:cantSplit/>
        </w:trPr>
        <w:tc>
          <w:tcPr>
            <w:tcW w:type="dxa" w:w="864"/>
            <w:vAlign w:val="center"/>
            <w:shd w:fill="F8FAFB"/>
            <w:tcMar>
              <w:top w:w="90" w:type="dxa"/>
              <w:start w:w="120" w:type="dxa"/>
              <w:bottom w:w="90" w:type="dxa"/>
              <w:end w:w="120" w:type="dxa"/>
            </w:tcMar>
          </w:tcPr>
          <w:p>
            <w:pPr>
              <w:spacing w:after="0" w:line="245" w:lineRule="auto"/>
            </w:pPr>
            <w:r>
              <w:rPr>
                <w:rFonts w:ascii="Aptos" w:hAnsi="Aptos"/>
                <w:b/>
                <w:color w:val="17212B"/>
                <w:sz w:val="18"/>
              </w:rPr>
              <w:t>4</w:t>
            </w:r>
          </w:p>
        </w:tc>
        <w:tc>
          <w:tcPr>
            <w:tcW w:type="dxa" w:w="2951"/>
            <w:vAlign w:val="center"/>
            <w:shd w:fill="F8FAFB"/>
            <w:tcMar>
              <w:top w:w="90" w:type="dxa"/>
              <w:start w:w="120" w:type="dxa"/>
              <w:bottom w:w="90" w:type="dxa"/>
              <w:end w:w="120" w:type="dxa"/>
            </w:tcMar>
          </w:tcPr>
          <w:p>
            <w:pPr>
              <w:spacing w:after="0" w:line="245" w:lineRule="auto"/>
            </w:pPr>
            <w:r>
              <w:rPr>
                <w:rFonts w:ascii="Aptos" w:hAnsi="Aptos"/>
                <w:b w:val="0"/>
                <w:color w:val="17212B"/>
                <w:sz w:val="18"/>
              </w:rPr>
              <w:t>Skill / location</w:t>
            </w:r>
          </w:p>
        </w:tc>
        <w:tc>
          <w:tcPr>
            <w:tcW w:type="dxa" w:w="5544"/>
            <w:vAlign w:val="center"/>
            <w:shd w:fill="F8FAFB"/>
            <w:tcMar>
              <w:top w:w="90" w:type="dxa"/>
              <w:start w:w="120" w:type="dxa"/>
              <w:bottom w:w="90" w:type="dxa"/>
              <w:end w:w="120" w:type="dxa"/>
            </w:tcMar>
          </w:tcPr>
          <w:p>
            <w:pPr>
              <w:spacing w:after="0" w:line="245" w:lineRule="auto"/>
            </w:pPr>
            <w:r>
              <w:rPr>
                <w:rFonts w:ascii="Aptos" w:hAnsi="Aptos"/>
                <w:b w:val="0"/>
                <w:color w:val="17212B"/>
                <w:sz w:val="18"/>
              </w:rPr>
              <w:t>Vietnamese, province, service knowledge, payer/referrer workflow</w:t>
            </w:r>
          </w:p>
        </w:tc>
      </w:tr>
      <w:tr>
        <w:trPr>
          <w:cantSplit/>
        </w:trPr>
        <w:tc>
          <w:tcPr>
            <w:tcW w:type="dxa" w:w="864"/>
            <w:vAlign w:val="center"/>
            <w:tcMar>
              <w:top w:w="90" w:type="dxa"/>
              <w:start w:w="120" w:type="dxa"/>
              <w:bottom w:w="90" w:type="dxa"/>
              <w:end w:w="120" w:type="dxa"/>
            </w:tcMar>
          </w:tcPr>
          <w:p>
            <w:pPr>
              <w:spacing w:after="0" w:line="245" w:lineRule="auto"/>
            </w:pPr>
            <w:r>
              <w:rPr>
                <w:rFonts w:ascii="Aptos" w:hAnsi="Aptos"/>
                <w:b/>
                <w:color w:val="17212B"/>
                <w:sz w:val="18"/>
              </w:rPr>
              <w:t>5</w:t>
            </w:r>
          </w:p>
        </w:tc>
        <w:tc>
          <w:tcPr>
            <w:tcW w:type="dxa" w:w="2951"/>
            <w:vAlign w:val="center"/>
            <w:tcMar>
              <w:top w:w="90" w:type="dxa"/>
              <w:start w:w="120" w:type="dxa"/>
              <w:bottom w:w="90" w:type="dxa"/>
              <w:end w:w="120" w:type="dxa"/>
            </w:tcMar>
          </w:tcPr>
          <w:p>
            <w:pPr>
              <w:spacing w:after="0" w:line="245" w:lineRule="auto"/>
            </w:pPr>
            <w:r>
              <w:rPr>
                <w:rFonts w:ascii="Aptos" w:hAnsi="Aptos"/>
                <w:b w:val="0"/>
                <w:color w:val="17212B"/>
                <w:sz w:val="18"/>
              </w:rPr>
              <w:t>Urgency and SLA</w:t>
            </w:r>
          </w:p>
        </w:tc>
        <w:tc>
          <w:tcPr>
            <w:tcW w:type="dxa" w:w="5544"/>
            <w:vAlign w:val="center"/>
            <w:tcMar>
              <w:top w:w="90" w:type="dxa"/>
              <w:start w:w="120" w:type="dxa"/>
              <w:bottom w:w="90" w:type="dxa"/>
              <w:end w:w="120" w:type="dxa"/>
            </w:tcMar>
          </w:tcPr>
          <w:p>
            <w:pPr>
              <w:spacing w:after="0" w:line="245" w:lineRule="auto"/>
            </w:pPr>
            <w:r>
              <w:rPr>
                <w:rFonts w:ascii="Aptos" w:hAnsi="Aptos"/>
                <w:b w:val="0"/>
                <w:color w:val="17212B"/>
                <w:sz w:val="18"/>
              </w:rPr>
              <w:t>Worsening symptoms, missed-call recovery, booking within 24 hours</w:t>
            </w:r>
          </w:p>
        </w:tc>
      </w:tr>
      <w:tr>
        <w:trPr>
          <w:cantSplit/>
        </w:trPr>
        <w:tc>
          <w:tcPr>
            <w:tcW w:type="dxa" w:w="864"/>
            <w:vAlign w:val="center"/>
            <w:shd w:fill="F8FAFB"/>
            <w:tcMar>
              <w:top w:w="90" w:type="dxa"/>
              <w:start w:w="120" w:type="dxa"/>
              <w:bottom w:w="90" w:type="dxa"/>
              <w:end w:w="120" w:type="dxa"/>
            </w:tcMar>
          </w:tcPr>
          <w:p>
            <w:pPr>
              <w:spacing w:after="0" w:line="245" w:lineRule="auto"/>
            </w:pPr>
            <w:r>
              <w:rPr>
                <w:rFonts w:ascii="Aptos" w:hAnsi="Aptos"/>
                <w:b/>
                <w:color w:val="17212B"/>
                <w:sz w:val="18"/>
              </w:rPr>
              <w:t>6</w:t>
            </w:r>
          </w:p>
        </w:tc>
        <w:tc>
          <w:tcPr>
            <w:tcW w:type="dxa" w:w="2951"/>
            <w:vAlign w:val="center"/>
            <w:shd w:fill="F8FAFB"/>
            <w:tcMar>
              <w:top w:w="90" w:type="dxa"/>
              <w:start w:w="120" w:type="dxa"/>
              <w:bottom w:w="90" w:type="dxa"/>
              <w:end w:w="120" w:type="dxa"/>
            </w:tcMar>
          </w:tcPr>
          <w:p>
            <w:pPr>
              <w:spacing w:after="0" w:line="245" w:lineRule="auto"/>
            </w:pPr>
            <w:r>
              <w:rPr>
                <w:rFonts w:ascii="Aptos" w:hAnsi="Aptos"/>
                <w:b w:val="0"/>
                <w:color w:val="17212B"/>
                <w:sz w:val="18"/>
              </w:rPr>
              <w:t>Capacity and focus</w:t>
            </w:r>
          </w:p>
        </w:tc>
        <w:tc>
          <w:tcPr>
            <w:tcW w:type="dxa" w:w="5544"/>
            <w:vAlign w:val="center"/>
            <w:shd w:fill="F8FAFB"/>
            <w:tcMar>
              <w:top w:w="90" w:type="dxa"/>
              <w:start w:w="120" w:type="dxa"/>
              <w:bottom w:w="90" w:type="dxa"/>
              <w:end w:w="120" w:type="dxa"/>
            </w:tcMar>
          </w:tcPr>
          <w:p>
            <w:pPr>
              <w:spacing w:after="0" w:line="245" w:lineRule="auto"/>
            </w:pPr>
            <w:r>
              <w:rPr>
                <w:rFonts w:ascii="Aptos" w:hAnsi="Aptos"/>
                <w:b w:val="0"/>
                <w:color w:val="17212B"/>
                <w:sz w:val="18"/>
              </w:rPr>
              <w:t>Voice consumes full real-time capacity; messaging weighted</w:t>
            </w:r>
          </w:p>
        </w:tc>
      </w:tr>
      <w:tr>
        <w:trPr>
          <w:cantSplit/>
        </w:trPr>
        <w:tc>
          <w:tcPr>
            <w:tcW w:type="dxa" w:w="864"/>
            <w:vAlign w:val="center"/>
            <w:tcMar>
              <w:top w:w="90" w:type="dxa"/>
              <w:start w:w="120" w:type="dxa"/>
              <w:bottom w:w="90" w:type="dxa"/>
              <w:end w:w="120" w:type="dxa"/>
            </w:tcMar>
          </w:tcPr>
          <w:p>
            <w:pPr>
              <w:spacing w:after="0" w:line="245" w:lineRule="auto"/>
            </w:pPr>
            <w:r>
              <w:rPr>
                <w:rFonts w:ascii="Aptos" w:hAnsi="Aptos"/>
                <w:b/>
                <w:color w:val="17212B"/>
                <w:sz w:val="18"/>
              </w:rPr>
              <w:t>7</w:t>
            </w:r>
          </w:p>
        </w:tc>
        <w:tc>
          <w:tcPr>
            <w:tcW w:type="dxa" w:w="2951"/>
            <w:vAlign w:val="center"/>
            <w:tcMar>
              <w:top w:w="90" w:type="dxa"/>
              <w:start w:w="120" w:type="dxa"/>
              <w:bottom w:w="90" w:type="dxa"/>
              <w:end w:w="120" w:type="dxa"/>
            </w:tcMar>
          </w:tcPr>
          <w:p>
            <w:pPr>
              <w:spacing w:after="0" w:line="245" w:lineRule="auto"/>
            </w:pPr>
            <w:r>
              <w:rPr>
                <w:rFonts w:ascii="Aptos" w:hAnsi="Aptos"/>
                <w:b w:val="0"/>
                <w:color w:val="17212B"/>
                <w:sz w:val="18"/>
              </w:rPr>
              <w:t>Fairness tie-break</w:t>
            </w:r>
          </w:p>
        </w:tc>
        <w:tc>
          <w:tcPr>
            <w:tcW w:type="dxa" w:w="5544"/>
            <w:vAlign w:val="center"/>
            <w:tcMar>
              <w:top w:w="90" w:type="dxa"/>
              <w:start w:w="120" w:type="dxa"/>
              <w:bottom w:w="90" w:type="dxa"/>
              <w:end w:w="120" w:type="dxa"/>
            </w:tcMar>
          </w:tcPr>
          <w:p>
            <w:pPr>
              <w:spacing w:after="0" w:line="245" w:lineRule="auto"/>
            </w:pPr>
            <w:r>
              <w:rPr>
                <w:rFonts w:ascii="Aptos" w:hAnsi="Aptos"/>
                <w:b w:val="0"/>
                <w:color w:val="17212B"/>
                <w:sz w:val="18"/>
              </w:rPr>
              <w:t>Longest idle or round robin among equal candidates</w:t>
            </w:r>
          </w:p>
        </w:tc>
      </w:tr>
    </w:tbl>
    <w:p>
      <w:pPr>
        <w:spacing w:after="20"/>
      </w:pPr>
    </w:p>
    <w:p>
      <w:pPr>
        <w:pStyle w:val="Heading2"/>
      </w:pPr>
      <w:r>
        <w:t>7.2 Routing policy studio</w:t>
      </w:r>
    </w:p>
    <w:p>
      <w:pPr>
        <w:pStyle w:val="ListBullet"/>
      </w:pPr>
      <w:r>
        <w:rPr>
          <w:rFonts w:ascii="Aptos" w:hAnsi="Aptos"/>
          <w:color w:val="17212B"/>
          <w:sz w:val="20"/>
        </w:rPr>
        <w:t>Natural-language rule summary beside the actual structured conditions.</w:t>
      </w:r>
    </w:p>
    <w:p>
      <w:pPr>
        <w:pStyle w:val="ListBullet"/>
      </w:pPr>
      <w:r>
        <w:rPr>
          <w:rFonts w:ascii="Aptos" w:hAnsi="Aptos"/>
          <w:color w:val="17212B"/>
          <w:sz w:val="20"/>
        </w:rPr>
        <w:t>Test with historical or synthetic interactions before publish.</w:t>
      </w:r>
    </w:p>
    <w:p>
      <w:pPr>
        <w:pStyle w:val="ListBullet"/>
      </w:pPr>
      <w:r>
        <w:rPr>
          <w:rFonts w:ascii="Aptos" w:hAnsi="Aptos"/>
          <w:color w:val="17212B"/>
          <w:sz w:val="20"/>
        </w:rPr>
        <w:t>Explain why a specific interaction reached a specific queue/agent.</w:t>
      </w:r>
    </w:p>
    <w:p>
      <w:pPr>
        <w:pStyle w:val="ListBullet"/>
      </w:pPr>
      <w:r>
        <w:rPr>
          <w:rFonts w:ascii="Aptos" w:hAnsi="Aptos"/>
          <w:color w:val="17212B"/>
          <w:sz w:val="20"/>
        </w:rPr>
        <w:t>Version, draft, approve, schedule, compare and roll back policies.</w:t>
      </w:r>
    </w:p>
    <w:p>
      <w:pPr>
        <w:pStyle w:val="ListBullet"/>
      </w:pPr>
      <w:r>
        <w:rPr>
          <w:rFonts w:ascii="Aptos" w:hAnsi="Aptos"/>
          <w:color w:val="17212B"/>
          <w:sz w:val="20"/>
        </w:rPr>
        <w:t>Conflict detection for shadowed rules, dead ends, unavailable skills and unsafe fallbacks.</w:t>
      </w:r>
    </w:p>
    <w:p>
      <w:pPr>
        <w:pStyle w:val="ListBullet"/>
      </w:pPr>
      <w:r>
        <w:rPr>
          <w:rFonts w:ascii="Aptos" w:hAnsi="Aptos"/>
          <w:color w:val="17212B"/>
          <w:sz w:val="20"/>
        </w:rPr>
        <w:t>Separate business-hours, after-hours, outage and surge policies.</w:t>
      </w:r>
    </w:p>
    <w:p>
      <w:pPr>
        <w:pStyle w:val="Heading2"/>
      </w:pPr>
      <w:r>
        <w:t>7.3 Manager / supervisor cockpit</w:t>
      </w:r>
    </w:p>
    <w:tbl>
      <w:tblPr>
        <w:tblW w:type="dxa" w:w="936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1728"/>
        <w:gridCol w:w="4536"/>
        <w:gridCol w:w="3096"/>
      </w:tblGrid>
      <w:tr>
        <w:trPr>
          <w:tblHeader w:val="true"/>
          <w:cantSplit/>
        </w:trPr>
        <w:tc>
          <w:tcPr>
            <w:tcW w:type="dxa" w:w="1728"/>
            <w:shd w:fill="0E8A7B"/>
            <w:vAlign w:val="center"/>
            <w:tcMar>
              <w:top w:w="90" w:type="dxa"/>
              <w:start w:w="120" w:type="dxa"/>
              <w:bottom w:w="90" w:type="dxa"/>
              <w:end w:w="120" w:type="dxa"/>
            </w:tcMar>
          </w:tcPr>
          <w:p>
            <w:pPr>
              <w:spacing w:after="0"/>
              <w:jc w:val="left"/>
            </w:pPr>
            <w:r>
              <w:rPr>
                <w:rFonts w:ascii="Aptos" w:hAnsi="Aptos"/>
                <w:b/>
                <w:color w:val="FFFFFF"/>
                <w:sz w:val="17"/>
              </w:rPr>
              <w:t>View</w:t>
            </w:r>
          </w:p>
        </w:tc>
        <w:tc>
          <w:tcPr>
            <w:tcW w:type="dxa" w:w="4536"/>
            <w:shd w:fill="0E8A7B"/>
            <w:vAlign w:val="center"/>
            <w:tcMar>
              <w:top w:w="90" w:type="dxa"/>
              <w:start w:w="120" w:type="dxa"/>
              <w:bottom w:w="90" w:type="dxa"/>
              <w:end w:w="120" w:type="dxa"/>
            </w:tcMar>
          </w:tcPr>
          <w:p>
            <w:pPr>
              <w:spacing w:after="0"/>
              <w:jc w:val="left"/>
            </w:pPr>
            <w:r>
              <w:rPr>
                <w:rFonts w:ascii="Aptos" w:hAnsi="Aptos"/>
                <w:b/>
                <w:color w:val="FFFFFF"/>
                <w:sz w:val="17"/>
              </w:rPr>
              <w:t>Answer in one glance</w:t>
            </w:r>
          </w:p>
        </w:tc>
        <w:tc>
          <w:tcPr>
            <w:tcW w:type="dxa" w:w="3096"/>
            <w:shd w:fill="0E8A7B"/>
            <w:vAlign w:val="center"/>
            <w:tcMar>
              <w:top w:w="90" w:type="dxa"/>
              <w:start w:w="120" w:type="dxa"/>
              <w:bottom w:w="90" w:type="dxa"/>
              <w:end w:w="120" w:type="dxa"/>
            </w:tcMar>
          </w:tcPr>
          <w:p>
            <w:pPr>
              <w:spacing w:after="0"/>
              <w:jc w:val="left"/>
            </w:pPr>
            <w:r>
              <w:rPr>
                <w:rFonts w:ascii="Aptos" w:hAnsi="Aptos"/>
                <w:b/>
                <w:color w:val="FFFFFF"/>
                <w:sz w:val="17"/>
              </w:rPr>
              <w:t>Actions</w:t>
            </w:r>
          </w:p>
        </w:tc>
      </w:tr>
      <w:tr>
        <w:trPr>
          <w:cantSplit/>
        </w:trPr>
        <w:tc>
          <w:tcPr>
            <w:tcW w:type="dxa" w:w="1728"/>
            <w:vAlign w:val="center"/>
            <w:tcMar>
              <w:top w:w="90" w:type="dxa"/>
              <w:start w:w="120" w:type="dxa"/>
              <w:bottom w:w="90" w:type="dxa"/>
              <w:end w:w="120" w:type="dxa"/>
            </w:tcMar>
          </w:tcPr>
          <w:p>
            <w:pPr>
              <w:spacing w:after="0" w:line="245" w:lineRule="auto"/>
            </w:pPr>
            <w:r>
              <w:rPr>
                <w:rFonts w:ascii="Aptos" w:hAnsi="Aptos"/>
                <w:b/>
                <w:color w:val="17212B"/>
                <w:sz w:val="17"/>
              </w:rPr>
              <w:t>Live operations</w:t>
            </w:r>
          </w:p>
        </w:tc>
        <w:tc>
          <w:tcPr>
            <w:tcW w:type="dxa" w:w="4536"/>
            <w:vAlign w:val="center"/>
            <w:tcMar>
              <w:top w:w="90" w:type="dxa"/>
              <w:start w:w="120" w:type="dxa"/>
              <w:bottom w:w="90" w:type="dxa"/>
              <w:end w:w="120" w:type="dxa"/>
            </w:tcMar>
          </w:tcPr>
          <w:p>
            <w:pPr>
              <w:spacing w:after="0" w:line="245" w:lineRule="auto"/>
            </w:pPr>
            <w:r>
              <w:rPr>
                <w:rFonts w:ascii="Aptos" w:hAnsi="Aptos"/>
                <w:b w:val="0"/>
                <w:color w:val="17212B"/>
                <w:sz w:val="17"/>
              </w:rPr>
              <w:t>Volume, oldest wait, SLA risk, available capacity by channel</w:t>
            </w:r>
          </w:p>
        </w:tc>
        <w:tc>
          <w:tcPr>
            <w:tcW w:type="dxa" w:w="3096"/>
            <w:vAlign w:val="center"/>
            <w:tcMar>
              <w:top w:w="90" w:type="dxa"/>
              <w:start w:w="120" w:type="dxa"/>
              <w:bottom w:w="90" w:type="dxa"/>
              <w:end w:w="120" w:type="dxa"/>
            </w:tcMar>
          </w:tcPr>
          <w:p>
            <w:pPr>
              <w:spacing w:after="0" w:line="245" w:lineRule="auto"/>
            </w:pPr>
            <w:r>
              <w:rPr>
                <w:rFonts w:ascii="Aptos" w:hAnsi="Aptos"/>
                <w:b w:val="0"/>
                <w:color w:val="17212B"/>
                <w:sz w:val="17"/>
              </w:rPr>
              <w:t>Rebalance, pause intake, open overflow</w:t>
            </w:r>
          </w:p>
        </w:tc>
      </w:tr>
      <w:tr>
        <w:trPr>
          <w:cantSplit/>
        </w:trPr>
        <w:tc>
          <w:tcPr>
            <w:tcW w:type="dxa" w:w="1728"/>
            <w:vAlign w:val="center"/>
            <w:shd w:fill="F8FAFB"/>
            <w:tcMar>
              <w:top w:w="90" w:type="dxa"/>
              <w:start w:w="120" w:type="dxa"/>
              <w:bottom w:w="90" w:type="dxa"/>
              <w:end w:w="120" w:type="dxa"/>
            </w:tcMar>
          </w:tcPr>
          <w:p>
            <w:pPr>
              <w:spacing w:after="0" w:line="245" w:lineRule="auto"/>
            </w:pPr>
            <w:r>
              <w:rPr>
                <w:rFonts w:ascii="Aptos" w:hAnsi="Aptos"/>
                <w:b/>
                <w:color w:val="17212B"/>
                <w:sz w:val="17"/>
              </w:rPr>
              <w:t>Risk queue</w:t>
            </w:r>
          </w:p>
        </w:tc>
        <w:tc>
          <w:tcPr>
            <w:tcW w:type="dxa" w:w="4536"/>
            <w:vAlign w:val="center"/>
            <w:shd w:fill="F8FAFB"/>
            <w:tcMar>
              <w:top w:w="90" w:type="dxa"/>
              <w:start w:w="120" w:type="dxa"/>
              <w:bottom w:w="90" w:type="dxa"/>
              <w:end w:w="120" w:type="dxa"/>
            </w:tcMar>
          </w:tcPr>
          <w:p>
            <w:pPr>
              <w:spacing w:after="0" w:line="245" w:lineRule="auto"/>
            </w:pPr>
            <w:r>
              <w:rPr>
                <w:rFonts w:ascii="Aptos" w:hAnsi="Aptos"/>
                <w:b w:val="0"/>
                <w:color w:val="17212B"/>
                <w:sz w:val="17"/>
              </w:rPr>
              <w:t>Unacknowledged escalation, repeated contact, worsening language, no owner</w:t>
            </w:r>
          </w:p>
        </w:tc>
        <w:tc>
          <w:tcPr>
            <w:tcW w:type="dxa" w:w="3096"/>
            <w:vAlign w:val="center"/>
            <w:shd w:fill="F8FAFB"/>
            <w:tcMar>
              <w:top w:w="90" w:type="dxa"/>
              <w:start w:w="120" w:type="dxa"/>
              <w:bottom w:w="90" w:type="dxa"/>
              <w:end w:w="120" w:type="dxa"/>
            </w:tcMar>
          </w:tcPr>
          <w:p>
            <w:pPr>
              <w:spacing w:after="0" w:line="245" w:lineRule="auto"/>
            </w:pPr>
            <w:r>
              <w:rPr>
                <w:rFonts w:ascii="Aptos" w:hAnsi="Aptos"/>
                <w:b w:val="0"/>
                <w:color w:val="17212B"/>
                <w:sz w:val="17"/>
              </w:rPr>
              <w:t>Assign, join, escalate, audit</w:t>
            </w:r>
          </w:p>
        </w:tc>
      </w:tr>
      <w:tr>
        <w:trPr>
          <w:cantSplit/>
        </w:trPr>
        <w:tc>
          <w:tcPr>
            <w:tcW w:type="dxa" w:w="1728"/>
            <w:vAlign w:val="center"/>
            <w:tcMar>
              <w:top w:w="90" w:type="dxa"/>
              <w:start w:w="120" w:type="dxa"/>
              <w:bottom w:w="90" w:type="dxa"/>
              <w:end w:w="120" w:type="dxa"/>
            </w:tcMar>
          </w:tcPr>
          <w:p>
            <w:pPr>
              <w:spacing w:after="0" w:line="245" w:lineRule="auto"/>
            </w:pPr>
            <w:r>
              <w:rPr>
                <w:rFonts w:ascii="Aptos" w:hAnsi="Aptos"/>
                <w:b/>
                <w:color w:val="17212B"/>
                <w:sz w:val="17"/>
              </w:rPr>
              <w:t>Agent focus</w:t>
            </w:r>
          </w:p>
        </w:tc>
        <w:tc>
          <w:tcPr>
            <w:tcW w:type="dxa" w:w="4536"/>
            <w:vAlign w:val="center"/>
            <w:tcMar>
              <w:top w:w="90" w:type="dxa"/>
              <w:start w:w="120" w:type="dxa"/>
              <w:bottom w:w="90" w:type="dxa"/>
              <w:end w:w="120" w:type="dxa"/>
            </w:tcMar>
          </w:tcPr>
          <w:p>
            <w:pPr>
              <w:spacing w:after="0" w:line="245" w:lineRule="auto"/>
            </w:pPr>
            <w:r>
              <w:rPr>
                <w:rFonts w:ascii="Aptos" w:hAnsi="Aptos"/>
                <w:b w:val="0"/>
                <w:color w:val="17212B"/>
                <w:sz w:val="17"/>
              </w:rPr>
              <w:t>Current real-time interaction, weighted load, after-contact work</w:t>
            </w:r>
          </w:p>
        </w:tc>
        <w:tc>
          <w:tcPr>
            <w:tcW w:type="dxa" w:w="3096"/>
            <w:vAlign w:val="center"/>
            <w:tcMar>
              <w:top w:w="90" w:type="dxa"/>
              <w:start w:w="120" w:type="dxa"/>
              <w:bottom w:w="90" w:type="dxa"/>
              <w:end w:w="120" w:type="dxa"/>
            </w:tcMar>
          </w:tcPr>
          <w:p>
            <w:pPr>
              <w:spacing w:after="0" w:line="245" w:lineRule="auto"/>
            </w:pPr>
            <w:r>
              <w:rPr>
                <w:rFonts w:ascii="Aptos" w:hAnsi="Aptos"/>
                <w:b w:val="0"/>
                <w:color w:val="17212B"/>
                <w:sz w:val="17"/>
              </w:rPr>
              <w:t>Coach, monitor where lawful, change capacity</w:t>
            </w:r>
          </w:p>
        </w:tc>
      </w:tr>
      <w:tr>
        <w:trPr>
          <w:cantSplit/>
        </w:trPr>
        <w:tc>
          <w:tcPr>
            <w:tcW w:type="dxa" w:w="1728"/>
            <w:vAlign w:val="center"/>
            <w:shd w:fill="F8FAFB"/>
            <w:tcMar>
              <w:top w:w="90" w:type="dxa"/>
              <w:start w:w="120" w:type="dxa"/>
              <w:bottom w:w="90" w:type="dxa"/>
              <w:end w:w="120" w:type="dxa"/>
            </w:tcMar>
          </w:tcPr>
          <w:p>
            <w:pPr>
              <w:spacing w:after="0" w:line="245" w:lineRule="auto"/>
            </w:pPr>
            <w:r>
              <w:rPr>
                <w:rFonts w:ascii="Aptos" w:hAnsi="Aptos"/>
                <w:b/>
                <w:color w:val="17212B"/>
                <w:sz w:val="17"/>
              </w:rPr>
              <w:t>Journey quality</w:t>
            </w:r>
          </w:p>
        </w:tc>
        <w:tc>
          <w:tcPr>
            <w:tcW w:type="dxa" w:w="4536"/>
            <w:vAlign w:val="center"/>
            <w:shd w:fill="F8FAFB"/>
            <w:tcMar>
              <w:top w:w="90" w:type="dxa"/>
              <w:start w:w="120" w:type="dxa"/>
              <w:bottom w:w="90" w:type="dxa"/>
              <w:end w:w="120" w:type="dxa"/>
            </w:tcMar>
          </w:tcPr>
          <w:p>
            <w:pPr>
              <w:spacing w:after="0" w:line="245" w:lineRule="auto"/>
            </w:pPr>
            <w:r>
              <w:rPr>
                <w:rFonts w:ascii="Aptos" w:hAnsi="Aptos"/>
                <w:b w:val="0"/>
                <w:color w:val="17212B"/>
                <w:sz w:val="17"/>
              </w:rPr>
              <w:t>Transfers, repeat contact, identity conflicts, missed commitments</w:t>
            </w:r>
          </w:p>
        </w:tc>
        <w:tc>
          <w:tcPr>
            <w:tcW w:type="dxa" w:w="3096"/>
            <w:vAlign w:val="center"/>
            <w:shd w:fill="F8FAFB"/>
            <w:tcMar>
              <w:top w:w="90" w:type="dxa"/>
              <w:start w:w="120" w:type="dxa"/>
              <w:bottom w:w="90" w:type="dxa"/>
              <w:end w:w="120" w:type="dxa"/>
            </w:tcMar>
          </w:tcPr>
          <w:p>
            <w:pPr>
              <w:spacing w:after="0" w:line="245" w:lineRule="auto"/>
            </w:pPr>
            <w:r>
              <w:rPr>
                <w:rFonts w:ascii="Aptos" w:hAnsi="Aptos"/>
                <w:b w:val="0"/>
                <w:color w:val="17212B"/>
                <w:sz w:val="17"/>
              </w:rPr>
              <w:t>Review case, create coaching, repair workflow</w:t>
            </w:r>
          </w:p>
        </w:tc>
      </w:tr>
      <w:tr>
        <w:trPr>
          <w:cantSplit/>
        </w:trPr>
        <w:tc>
          <w:tcPr>
            <w:tcW w:type="dxa" w:w="1728"/>
            <w:vAlign w:val="center"/>
            <w:tcMar>
              <w:top w:w="90" w:type="dxa"/>
              <w:start w:w="120" w:type="dxa"/>
              <w:bottom w:w="90" w:type="dxa"/>
              <w:end w:w="120" w:type="dxa"/>
            </w:tcMar>
          </w:tcPr>
          <w:p>
            <w:pPr>
              <w:spacing w:after="0" w:line="245" w:lineRule="auto"/>
            </w:pPr>
            <w:r>
              <w:rPr>
                <w:rFonts w:ascii="Aptos" w:hAnsi="Aptos"/>
                <w:b/>
                <w:color w:val="17212B"/>
                <w:sz w:val="17"/>
              </w:rPr>
              <w:t>AI governance</w:t>
            </w:r>
          </w:p>
        </w:tc>
        <w:tc>
          <w:tcPr>
            <w:tcW w:type="dxa" w:w="4536"/>
            <w:vAlign w:val="center"/>
            <w:tcMar>
              <w:top w:w="90" w:type="dxa"/>
              <w:start w:w="120" w:type="dxa"/>
              <w:bottom w:w="90" w:type="dxa"/>
              <w:end w:w="120" w:type="dxa"/>
            </w:tcMar>
          </w:tcPr>
          <w:p>
            <w:pPr>
              <w:spacing w:after="0" w:line="245" w:lineRule="auto"/>
            </w:pPr>
            <w:r>
              <w:rPr>
                <w:rFonts w:ascii="Aptos" w:hAnsi="Aptos"/>
                <w:b w:val="0"/>
                <w:color w:val="17212B"/>
                <w:sz w:val="17"/>
              </w:rPr>
              <w:t>Automation rate, override rate, unsupported claims, source coverage</w:t>
            </w:r>
          </w:p>
        </w:tc>
        <w:tc>
          <w:tcPr>
            <w:tcW w:type="dxa" w:w="3096"/>
            <w:vAlign w:val="center"/>
            <w:tcMar>
              <w:top w:w="90" w:type="dxa"/>
              <w:start w:w="120" w:type="dxa"/>
              <w:bottom w:w="90" w:type="dxa"/>
              <w:end w:w="120" w:type="dxa"/>
            </w:tcMar>
          </w:tcPr>
          <w:p>
            <w:pPr>
              <w:spacing w:after="0" w:line="245" w:lineRule="auto"/>
            </w:pPr>
            <w:r>
              <w:rPr>
                <w:rFonts w:ascii="Aptos" w:hAnsi="Aptos"/>
                <w:b w:val="0"/>
                <w:color w:val="17212B"/>
                <w:sz w:val="17"/>
              </w:rPr>
              <w:t>Disable capability, sample, label, improve content</w:t>
            </w:r>
          </w:p>
        </w:tc>
      </w:tr>
      <w:tr>
        <w:trPr>
          <w:cantSplit/>
        </w:trPr>
        <w:tc>
          <w:tcPr>
            <w:tcW w:type="dxa" w:w="1728"/>
            <w:vAlign w:val="center"/>
            <w:shd w:fill="F8FAFB"/>
            <w:tcMar>
              <w:top w:w="90" w:type="dxa"/>
              <w:start w:w="120" w:type="dxa"/>
              <w:bottom w:w="90" w:type="dxa"/>
              <w:end w:w="120" w:type="dxa"/>
            </w:tcMar>
          </w:tcPr>
          <w:p>
            <w:pPr>
              <w:spacing w:after="0" w:line="245" w:lineRule="auto"/>
            </w:pPr>
            <w:r>
              <w:rPr>
                <w:rFonts w:ascii="Aptos" w:hAnsi="Aptos"/>
                <w:b/>
                <w:color w:val="17212B"/>
                <w:sz w:val="17"/>
              </w:rPr>
              <w:t>Channel health</w:t>
            </w:r>
          </w:p>
        </w:tc>
        <w:tc>
          <w:tcPr>
            <w:tcW w:type="dxa" w:w="4536"/>
            <w:vAlign w:val="center"/>
            <w:shd w:fill="F8FAFB"/>
            <w:tcMar>
              <w:top w:w="90" w:type="dxa"/>
              <w:start w:w="120" w:type="dxa"/>
              <w:bottom w:w="90" w:type="dxa"/>
              <w:end w:w="120" w:type="dxa"/>
            </w:tcMar>
          </w:tcPr>
          <w:p>
            <w:pPr>
              <w:spacing w:after="0" w:line="245" w:lineRule="auto"/>
            </w:pPr>
            <w:r>
              <w:rPr>
                <w:rFonts w:ascii="Aptos" w:hAnsi="Aptos"/>
                <w:b w:val="0"/>
                <w:color w:val="17212B"/>
                <w:sz w:val="17"/>
              </w:rPr>
              <w:t>Webhook lag, delivery failures, token expiry, telephony quality</w:t>
            </w:r>
          </w:p>
        </w:tc>
        <w:tc>
          <w:tcPr>
            <w:tcW w:type="dxa" w:w="3096"/>
            <w:vAlign w:val="center"/>
            <w:shd w:fill="F8FAFB"/>
            <w:tcMar>
              <w:top w:w="90" w:type="dxa"/>
              <w:start w:w="120" w:type="dxa"/>
              <w:bottom w:w="90" w:type="dxa"/>
              <w:end w:w="120" w:type="dxa"/>
            </w:tcMar>
          </w:tcPr>
          <w:p>
            <w:pPr>
              <w:spacing w:after="0" w:line="245" w:lineRule="auto"/>
            </w:pPr>
            <w:r>
              <w:rPr>
                <w:rFonts w:ascii="Aptos" w:hAnsi="Aptos"/>
                <w:b w:val="0"/>
                <w:color w:val="17212B"/>
                <w:sz w:val="17"/>
              </w:rPr>
              <w:t>Fail over, retry, notify technical owner</w:t>
            </w:r>
          </w:p>
        </w:tc>
      </w:tr>
    </w:tbl>
    <w:p>
      <w:pPr>
        <w:spacing w:after="20"/>
      </w:pPr>
    </w:p>
    <w:p>
      <w:pPr>
        <w:pStyle w:val="Heading1"/>
      </w:pPr>
      <w:r>
        <w:t>8. Healthcare privacy, safety and trust requirements</w:t>
      </w:r>
    </w:p>
    <w:p>
      <w:pPr>
        <w:pStyle w:val="ListBullet"/>
      </w:pPr>
      <w:r>
        <w:rPr>
          <w:rFonts w:ascii="Aptos" w:hAnsi="Aptos"/>
          <w:color w:val="17212B"/>
          <w:sz w:val="20"/>
        </w:rPr>
        <w:t>Minimum necessary view: agents see only the care context required for their role and task; clinical details are not automatically exposed.</w:t>
      </w:r>
    </w:p>
    <w:p>
      <w:pPr>
        <w:pStyle w:val="ListBullet"/>
      </w:pPr>
      <w:r>
        <w:rPr>
          <w:rFonts w:ascii="Aptos" w:hAnsi="Aptos"/>
          <w:color w:val="17212B"/>
          <w:sz w:val="20"/>
        </w:rPr>
        <w:t>Consent ledger: purpose, channel, subject, representative authority, provenance, expiry and revocation are first-class fields.</w:t>
      </w:r>
    </w:p>
    <w:p>
      <w:pPr>
        <w:pStyle w:val="ListBullet"/>
      </w:pPr>
      <w:r>
        <w:rPr>
          <w:rFonts w:ascii="Aptos" w:hAnsi="Aptos"/>
          <w:color w:val="17212B"/>
          <w:sz w:val="20"/>
        </w:rPr>
        <w:t>No autonomous diagnosis or emergency prioritisation: AI may identify an approved phrase and start a deterministic escalation protocol, never decide clinical severity.</w:t>
      </w:r>
    </w:p>
    <w:p>
      <w:pPr>
        <w:pStyle w:val="ListBullet"/>
      </w:pPr>
      <w:r>
        <w:rPr>
          <w:rFonts w:ascii="Aptos" w:hAnsi="Aptos"/>
          <w:color w:val="17212B"/>
          <w:sz w:val="20"/>
        </w:rPr>
        <w:t>Recording and transcription: obtain and store consent state before capture; provide pause/redaction and retention controls.</w:t>
      </w:r>
    </w:p>
    <w:p>
      <w:pPr>
        <w:pStyle w:val="ListBullet"/>
      </w:pPr>
      <w:r>
        <w:rPr>
          <w:rFonts w:ascii="Aptos" w:hAnsi="Aptos"/>
          <w:color w:val="17212B"/>
          <w:sz w:val="20"/>
        </w:rPr>
        <w:t>Identity integrity: phone numbers are signals, not unique patients; shared household devices and representatives must be expected.</w:t>
      </w:r>
    </w:p>
    <w:p>
      <w:pPr>
        <w:pStyle w:val="ListBullet"/>
      </w:pPr>
      <w:r>
        <w:rPr>
          <w:rFonts w:ascii="Aptos" w:hAnsi="Aptos"/>
          <w:color w:val="17212B"/>
          <w:sz w:val="20"/>
        </w:rPr>
        <w:t>Approved AI boundary: no PHI is sent to a model or subprocessor unless that exact feature, region and contract are approved. Fall back to non-AI workflow.</w:t>
      </w:r>
    </w:p>
    <w:p>
      <w:pPr>
        <w:pStyle w:val="ListBullet"/>
      </w:pPr>
      <w:r>
        <w:rPr>
          <w:rFonts w:ascii="Aptos" w:hAnsi="Aptos"/>
          <w:color w:val="17212B"/>
          <w:sz w:val="20"/>
        </w:rPr>
        <w:t>Auditability: append-only event trail for routing, access, AI generation, evidence, edits, sends, merges, escalation and supervisor intervention.</w:t>
      </w:r>
    </w:p>
    <w:p>
      <w:pPr>
        <w:pStyle w:val="ListBullet"/>
      </w:pPr>
      <w:r>
        <w:rPr>
          <w:rFonts w:ascii="Aptos" w:hAnsi="Aptos"/>
          <w:color w:val="17212B"/>
          <w:sz w:val="20"/>
        </w:rPr>
        <w:t>Data lifecycle: explicit retention, legal hold, export, deletion/anonymisation and backup policies per interaction artefact.</w:t>
      </w:r>
    </w:p>
    <w:p>
      <w:pPr>
        <w:pStyle w:val="ListBullet"/>
      </w:pPr>
      <w:r>
        <w:rPr>
          <w:rFonts w:ascii="Aptos" w:hAnsi="Aptos"/>
          <w:color w:val="17212B"/>
          <w:sz w:val="20"/>
        </w:rPr>
        <w:t>Break glass: elevated access requires reason, time limit, notification and post-event review.</w:t>
      </w:r>
    </w:p>
    <w:p>
      <w:pPr>
        <w:pStyle w:val="ListBullet"/>
      </w:pPr>
      <w:r>
        <w:rPr>
          <w:rFonts w:ascii="Aptos" w:hAnsi="Aptos"/>
          <w:color w:val="17212B"/>
          <w:sz w:val="20"/>
        </w:rPr>
        <w:t>Message safety: templates and composer checks prevent sending sensitive detail to an unverified or non-consented channel.</w:t>
      </w:r>
    </w:p>
    <w:p>
      <w:pPr>
        <w:pStyle w:val="Risk"/>
        <w:keepLines/>
      </w:pPr>
      <w:r>
        <w:rPr>
          <w:rFonts w:ascii="Aptos" w:hAnsi="Aptos"/>
          <w:b/>
          <w:color w:val="0B2545"/>
          <w:sz w:val="20"/>
        </w:rPr>
        <w:t xml:space="preserve">DESIGN RULE  </w:t>
      </w:r>
      <w:r>
        <w:rPr>
          <w:rFonts w:ascii="Aptos" w:hAnsi="Aptos"/>
          <w:b w:val="0"/>
          <w:color w:val="17212B"/>
          <w:sz w:val="20"/>
        </w:rPr>
        <w:t>Never communicate “AI confidence” with a reassuring green percentage alone. Show what the AI knows, what it does not know, the supporting events and the next human verification step.</w:t>
      </w:r>
    </w:p>
    <w:p>
      <w:pPr>
        <w:pStyle w:val="Heading1"/>
      </w:pPr>
      <w:r>
        <w:t>9. Health19 fit and target architecture</w:t>
      </w:r>
    </w:p>
    <w:p>
      <w:r>
        <w:rPr>
          <w:rFonts w:ascii="Aptos" w:hAnsi="Aptos"/>
          <w:color w:val="17212B"/>
        </w:rPr>
        <w:t>Verified from the local repository, Health19 already has the necessary foundations: a custom CRM Center and OWL components; caller/client relationship fields and booking conversion; Zalo OA OAuth/webhooks and conversation models; VoIP24h call logs, recordings, matching and popups; consent and PHI-encryption modules; outbound messaging; and secure family messaging. The missing capability is a canonical, cross-channel work layer and a unified operational UI.</w:t>
      </w:r>
    </w:p>
    <w:tbl>
      <w:tblPr>
        <w:tblW w:type="dxa" w:w="936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2088"/>
        <w:gridCol w:w="3960"/>
        <w:gridCol w:w="3311"/>
      </w:tblGrid>
      <w:tr>
        <w:trPr>
          <w:tblHeader w:val="true"/>
          <w:cantSplit/>
        </w:trPr>
        <w:tc>
          <w:tcPr>
            <w:tcW w:type="dxa" w:w="2088"/>
            <w:shd w:fill="0B2545"/>
            <w:vAlign w:val="center"/>
            <w:tcMar>
              <w:top w:w="90" w:type="dxa"/>
              <w:start w:w="120" w:type="dxa"/>
              <w:bottom w:w="90" w:type="dxa"/>
              <w:end w:w="120" w:type="dxa"/>
            </w:tcMar>
          </w:tcPr>
          <w:p>
            <w:pPr>
              <w:spacing w:after="0"/>
              <w:jc w:val="left"/>
            </w:pPr>
            <w:r>
              <w:rPr>
                <w:rFonts w:ascii="Aptos" w:hAnsi="Aptos"/>
                <w:b/>
                <w:color w:val="FFFFFF"/>
                <w:sz w:val="17"/>
              </w:rPr>
              <w:t>Existing module</w:t>
            </w:r>
          </w:p>
        </w:tc>
        <w:tc>
          <w:tcPr>
            <w:tcW w:type="dxa" w:w="3960"/>
            <w:shd w:fill="0B2545"/>
            <w:vAlign w:val="center"/>
            <w:tcMar>
              <w:top w:w="90" w:type="dxa"/>
              <w:start w:w="120" w:type="dxa"/>
              <w:bottom w:w="90" w:type="dxa"/>
              <w:end w:w="120" w:type="dxa"/>
            </w:tcMar>
          </w:tcPr>
          <w:p>
            <w:pPr>
              <w:spacing w:after="0"/>
              <w:jc w:val="left"/>
            </w:pPr>
            <w:r>
              <w:rPr>
                <w:rFonts w:ascii="Aptos" w:hAnsi="Aptos"/>
                <w:b/>
                <w:color w:val="FFFFFF"/>
                <w:sz w:val="17"/>
              </w:rPr>
              <w:t>Keep / reuse</w:t>
            </w:r>
          </w:p>
        </w:tc>
        <w:tc>
          <w:tcPr>
            <w:tcW w:type="dxa" w:w="3311"/>
            <w:shd w:fill="0B2545"/>
            <w:vAlign w:val="center"/>
            <w:tcMar>
              <w:top w:w="90" w:type="dxa"/>
              <w:start w:w="120" w:type="dxa"/>
              <w:bottom w:w="90" w:type="dxa"/>
              <w:end w:w="120" w:type="dxa"/>
            </w:tcMar>
          </w:tcPr>
          <w:p>
            <w:pPr>
              <w:spacing w:after="0"/>
              <w:jc w:val="left"/>
            </w:pPr>
            <w:r>
              <w:rPr>
                <w:rFonts w:ascii="Aptos" w:hAnsi="Aptos"/>
                <w:b/>
                <w:color w:val="FFFFFF"/>
                <w:sz w:val="17"/>
              </w:rPr>
              <w:t>Add or change</w:t>
            </w:r>
          </w:p>
        </w:tc>
      </w:tr>
      <w:tr>
        <w:trPr>
          <w:cantSplit/>
        </w:trPr>
        <w:tc>
          <w:tcPr>
            <w:tcW w:type="dxa" w:w="2088"/>
            <w:vAlign w:val="center"/>
            <w:tcMar>
              <w:top w:w="90" w:type="dxa"/>
              <w:start w:w="120" w:type="dxa"/>
              <w:bottom w:w="90" w:type="dxa"/>
              <w:end w:w="120" w:type="dxa"/>
            </w:tcMar>
          </w:tcPr>
          <w:p>
            <w:pPr>
              <w:spacing w:after="0" w:line="245" w:lineRule="auto"/>
            </w:pPr>
            <w:r>
              <w:rPr>
                <w:rFonts w:ascii="Aptos" w:hAnsi="Aptos"/>
                <w:b/>
                <w:color w:val="17212B"/>
                <w:sz w:val="17"/>
              </w:rPr>
              <w:t>health_crm</w:t>
            </w:r>
          </w:p>
        </w:tc>
        <w:tc>
          <w:tcPr>
            <w:tcW w:type="dxa" w:w="3960"/>
            <w:vAlign w:val="center"/>
            <w:tcMar>
              <w:top w:w="90" w:type="dxa"/>
              <w:start w:w="120" w:type="dxa"/>
              <w:bottom w:w="90" w:type="dxa"/>
              <w:end w:w="120" w:type="dxa"/>
            </w:tcMar>
          </w:tcPr>
          <w:p>
            <w:pPr>
              <w:spacing w:after="0" w:line="245" w:lineRule="auto"/>
            </w:pPr>
            <w:r>
              <w:rPr>
                <w:rFonts w:ascii="Aptos" w:hAnsi="Aptos"/>
                <w:b w:val="0"/>
                <w:color w:val="17212B"/>
                <w:sz w:val="17"/>
              </w:rPr>
              <w:t>CRM Center, contacts/leads, caller relationship, booking wizards, activities</w:t>
            </w:r>
          </w:p>
        </w:tc>
        <w:tc>
          <w:tcPr>
            <w:tcW w:type="dxa" w:w="3311"/>
            <w:vAlign w:val="center"/>
            <w:tcMar>
              <w:top w:w="90" w:type="dxa"/>
              <w:start w:w="120" w:type="dxa"/>
              <w:bottom w:w="90" w:type="dxa"/>
              <w:end w:w="120" w:type="dxa"/>
            </w:tcMar>
          </w:tcPr>
          <w:p>
            <w:pPr>
              <w:spacing w:after="0" w:line="245" w:lineRule="auto"/>
            </w:pPr>
            <w:r>
              <w:rPr>
                <w:rFonts w:ascii="Aptos" w:hAnsi="Aptos"/>
                <w:b w:val="0"/>
                <w:color w:val="17212B"/>
                <w:sz w:val="17"/>
              </w:rPr>
              <w:t>Add Care Command entry and integration services; do not replace proven booking flow</w:t>
            </w:r>
          </w:p>
        </w:tc>
      </w:tr>
      <w:tr>
        <w:trPr>
          <w:cantSplit/>
        </w:trPr>
        <w:tc>
          <w:tcPr>
            <w:tcW w:type="dxa" w:w="2088"/>
            <w:vAlign w:val="center"/>
            <w:shd w:fill="F8FAFB"/>
            <w:tcMar>
              <w:top w:w="90" w:type="dxa"/>
              <w:start w:w="120" w:type="dxa"/>
              <w:bottom w:w="90" w:type="dxa"/>
              <w:end w:w="120" w:type="dxa"/>
            </w:tcMar>
          </w:tcPr>
          <w:p>
            <w:pPr>
              <w:spacing w:after="0" w:line="245" w:lineRule="auto"/>
            </w:pPr>
            <w:r>
              <w:rPr>
                <w:rFonts w:ascii="Aptos" w:hAnsi="Aptos"/>
                <w:b/>
                <w:color w:val="17212B"/>
                <w:sz w:val="17"/>
              </w:rPr>
              <w:t>health_zalo</w:t>
            </w:r>
          </w:p>
        </w:tc>
        <w:tc>
          <w:tcPr>
            <w:tcW w:type="dxa" w:w="3960"/>
            <w:vAlign w:val="center"/>
            <w:shd w:fill="F8FAFB"/>
            <w:tcMar>
              <w:top w:w="90" w:type="dxa"/>
              <w:start w:w="120" w:type="dxa"/>
              <w:bottom w:w="90" w:type="dxa"/>
              <w:end w:w="120" w:type="dxa"/>
            </w:tcMar>
          </w:tcPr>
          <w:p>
            <w:pPr>
              <w:spacing w:after="0" w:line="245" w:lineRule="auto"/>
            </w:pPr>
            <w:r>
              <w:rPr>
                <w:rFonts w:ascii="Aptos" w:hAnsi="Aptos"/>
                <w:b w:val="0"/>
                <w:color w:val="17212B"/>
                <w:sz w:val="17"/>
              </w:rPr>
              <w:t>OA config, OAuth, webhooks, conversations/messages, bus notifications</w:t>
            </w:r>
          </w:p>
        </w:tc>
        <w:tc>
          <w:tcPr>
            <w:tcW w:type="dxa" w:w="3311"/>
            <w:vAlign w:val="center"/>
            <w:shd w:fill="F8FAFB"/>
            <w:tcMar>
              <w:top w:w="90" w:type="dxa"/>
              <w:start w:w="120" w:type="dxa"/>
              <w:bottom w:w="90" w:type="dxa"/>
              <w:end w:w="120" w:type="dxa"/>
            </w:tcMar>
          </w:tcPr>
          <w:p>
            <w:pPr>
              <w:spacing w:after="0" w:line="245" w:lineRule="auto"/>
            </w:pPr>
            <w:r>
              <w:rPr>
                <w:rFonts w:ascii="Aptos" w:hAnsi="Aptos"/>
                <w:b w:val="0"/>
                <w:color w:val="17212B"/>
                <w:sz w:val="17"/>
              </w:rPr>
              <w:t>Adapter into canonical conversation; assignment, SLA, consent and identity link state</w:t>
            </w:r>
          </w:p>
        </w:tc>
      </w:tr>
      <w:tr>
        <w:trPr>
          <w:cantSplit/>
        </w:trPr>
        <w:tc>
          <w:tcPr>
            <w:tcW w:type="dxa" w:w="2088"/>
            <w:vAlign w:val="center"/>
            <w:tcMar>
              <w:top w:w="90" w:type="dxa"/>
              <w:start w:w="120" w:type="dxa"/>
              <w:bottom w:w="90" w:type="dxa"/>
              <w:end w:w="120" w:type="dxa"/>
            </w:tcMar>
          </w:tcPr>
          <w:p>
            <w:pPr>
              <w:spacing w:after="0" w:line="245" w:lineRule="auto"/>
            </w:pPr>
            <w:r>
              <w:rPr>
                <w:rFonts w:ascii="Aptos" w:hAnsi="Aptos"/>
                <w:b/>
                <w:color w:val="17212B"/>
                <w:sz w:val="17"/>
              </w:rPr>
              <w:t>health_voip24h</w:t>
            </w:r>
          </w:p>
        </w:tc>
        <w:tc>
          <w:tcPr>
            <w:tcW w:type="dxa" w:w="3960"/>
            <w:vAlign w:val="center"/>
            <w:tcMar>
              <w:top w:w="90" w:type="dxa"/>
              <w:start w:w="120" w:type="dxa"/>
              <w:bottom w:w="90" w:type="dxa"/>
              <w:end w:w="120" w:type="dxa"/>
            </w:tcMar>
          </w:tcPr>
          <w:p>
            <w:pPr>
              <w:spacing w:after="0" w:line="245" w:lineRule="auto"/>
            </w:pPr>
            <w:r>
              <w:rPr>
                <w:rFonts w:ascii="Aptos" w:hAnsi="Aptos"/>
                <w:b w:val="0"/>
                <w:color w:val="17212B"/>
                <w:sz w:val="17"/>
              </w:rPr>
              <w:t>CDR, recordings, click-to-dial, caller match, incoming popup</w:t>
            </w:r>
          </w:p>
        </w:tc>
        <w:tc>
          <w:tcPr>
            <w:tcW w:type="dxa" w:w="3311"/>
            <w:vAlign w:val="center"/>
            <w:tcMar>
              <w:top w:w="90" w:type="dxa"/>
              <w:start w:w="120" w:type="dxa"/>
              <w:bottom w:w="90" w:type="dxa"/>
              <w:end w:w="120" w:type="dxa"/>
            </w:tcMar>
          </w:tcPr>
          <w:p>
            <w:pPr>
              <w:spacing w:after="0" w:line="245" w:lineRule="auto"/>
            </w:pPr>
            <w:r>
              <w:rPr>
                <w:rFonts w:ascii="Aptos" w:hAnsi="Aptos"/>
                <w:b w:val="0"/>
                <w:color w:val="17212B"/>
                <w:sz w:val="17"/>
              </w:rPr>
              <w:t>Real-time interaction lifecycle, queue/agent state, transcript/summary abstraction</w:t>
            </w:r>
          </w:p>
        </w:tc>
      </w:tr>
      <w:tr>
        <w:trPr>
          <w:cantSplit/>
        </w:trPr>
        <w:tc>
          <w:tcPr>
            <w:tcW w:type="dxa" w:w="2088"/>
            <w:vAlign w:val="center"/>
            <w:shd w:fill="F8FAFB"/>
            <w:tcMar>
              <w:top w:w="90" w:type="dxa"/>
              <w:start w:w="120" w:type="dxa"/>
              <w:bottom w:w="90" w:type="dxa"/>
              <w:end w:w="120" w:type="dxa"/>
            </w:tcMar>
          </w:tcPr>
          <w:p>
            <w:pPr>
              <w:spacing w:after="0" w:line="245" w:lineRule="auto"/>
            </w:pPr>
            <w:r>
              <w:rPr>
                <w:rFonts w:ascii="Aptos" w:hAnsi="Aptos"/>
                <w:b/>
                <w:color w:val="17212B"/>
                <w:sz w:val="17"/>
              </w:rPr>
              <w:t>health_messaging</w:t>
            </w:r>
          </w:p>
        </w:tc>
        <w:tc>
          <w:tcPr>
            <w:tcW w:type="dxa" w:w="3960"/>
            <w:vAlign w:val="center"/>
            <w:shd w:fill="F8FAFB"/>
            <w:tcMar>
              <w:top w:w="90" w:type="dxa"/>
              <w:start w:w="120" w:type="dxa"/>
              <w:bottom w:w="90" w:type="dxa"/>
              <w:end w:w="120" w:type="dxa"/>
            </w:tcMar>
          </w:tcPr>
          <w:p>
            <w:pPr>
              <w:spacing w:after="0" w:line="245" w:lineRule="auto"/>
            </w:pPr>
            <w:r>
              <w:rPr>
                <w:rFonts w:ascii="Aptos" w:hAnsi="Aptos"/>
                <w:b w:val="0"/>
                <w:color w:val="17212B"/>
                <w:sz w:val="17"/>
              </w:rPr>
              <w:t>ZNS/email/call fallback and safety switches</w:t>
            </w:r>
          </w:p>
        </w:tc>
        <w:tc>
          <w:tcPr>
            <w:tcW w:type="dxa" w:w="3311"/>
            <w:vAlign w:val="center"/>
            <w:shd w:fill="F8FAFB"/>
            <w:tcMar>
              <w:top w:w="90" w:type="dxa"/>
              <w:start w:w="120" w:type="dxa"/>
              <w:bottom w:w="90" w:type="dxa"/>
              <w:end w:w="120" w:type="dxa"/>
            </w:tcMar>
          </w:tcPr>
          <w:p>
            <w:pPr>
              <w:spacing w:after="0" w:line="245" w:lineRule="auto"/>
            </w:pPr>
            <w:r>
              <w:rPr>
                <w:rFonts w:ascii="Aptos" w:hAnsi="Aptos"/>
                <w:b w:val="0"/>
                <w:color w:val="17212B"/>
                <w:sz w:val="17"/>
              </w:rPr>
              <w:t>Expose delivery state and retry timeline in Care Command</w:t>
            </w:r>
          </w:p>
        </w:tc>
      </w:tr>
      <w:tr>
        <w:trPr>
          <w:cantSplit/>
        </w:trPr>
        <w:tc>
          <w:tcPr>
            <w:tcW w:type="dxa" w:w="2088"/>
            <w:vAlign w:val="center"/>
            <w:tcMar>
              <w:top w:w="90" w:type="dxa"/>
              <w:start w:w="120" w:type="dxa"/>
              <w:bottom w:w="90" w:type="dxa"/>
              <w:end w:w="120" w:type="dxa"/>
            </w:tcMar>
          </w:tcPr>
          <w:p>
            <w:pPr>
              <w:spacing w:after="0" w:line="245" w:lineRule="auto"/>
            </w:pPr>
            <w:r>
              <w:rPr>
                <w:rFonts w:ascii="Aptos" w:hAnsi="Aptos"/>
                <w:b/>
                <w:color w:val="17212B"/>
                <w:sz w:val="17"/>
              </w:rPr>
              <w:t>health_family_messages</w:t>
            </w:r>
          </w:p>
        </w:tc>
        <w:tc>
          <w:tcPr>
            <w:tcW w:type="dxa" w:w="3960"/>
            <w:vAlign w:val="center"/>
            <w:tcMar>
              <w:top w:w="90" w:type="dxa"/>
              <w:start w:w="120" w:type="dxa"/>
              <w:bottom w:w="90" w:type="dxa"/>
              <w:end w:w="120" w:type="dxa"/>
            </w:tcMar>
          </w:tcPr>
          <w:p>
            <w:pPr>
              <w:spacing w:after="0" w:line="245" w:lineRule="auto"/>
            </w:pPr>
            <w:r>
              <w:rPr>
                <w:rFonts w:ascii="Aptos" w:hAnsi="Aptos"/>
                <w:b w:val="0"/>
                <w:color w:val="17212B"/>
                <w:sz w:val="17"/>
              </w:rPr>
              <w:t>Consent-gated, encrypted family threads and notifications</w:t>
            </w:r>
          </w:p>
        </w:tc>
        <w:tc>
          <w:tcPr>
            <w:tcW w:type="dxa" w:w="3311"/>
            <w:vAlign w:val="center"/>
            <w:tcMar>
              <w:top w:w="90" w:type="dxa"/>
              <w:start w:w="120" w:type="dxa"/>
              <w:bottom w:w="90" w:type="dxa"/>
              <w:end w:w="120" w:type="dxa"/>
            </w:tcMar>
          </w:tcPr>
          <w:p>
            <w:pPr>
              <w:spacing w:after="0" w:line="245" w:lineRule="auto"/>
            </w:pPr>
            <w:r>
              <w:rPr>
                <w:rFonts w:ascii="Aptos" w:hAnsi="Aptos"/>
                <w:b w:val="0"/>
                <w:color w:val="17212B"/>
                <w:sz w:val="17"/>
              </w:rPr>
              <w:t>Optional adapter with stricter role visibility; do not flatten into public chat</w:t>
            </w:r>
          </w:p>
        </w:tc>
      </w:tr>
      <w:tr>
        <w:trPr>
          <w:cantSplit/>
        </w:trPr>
        <w:tc>
          <w:tcPr>
            <w:tcW w:type="dxa" w:w="2088"/>
            <w:vAlign w:val="center"/>
            <w:shd w:fill="F8FAFB"/>
            <w:tcMar>
              <w:top w:w="90" w:type="dxa"/>
              <w:start w:w="120" w:type="dxa"/>
              <w:bottom w:w="90" w:type="dxa"/>
              <w:end w:w="120" w:type="dxa"/>
            </w:tcMar>
          </w:tcPr>
          <w:p>
            <w:pPr>
              <w:spacing w:after="0" w:line="245" w:lineRule="auto"/>
            </w:pPr>
            <w:r>
              <w:rPr>
                <w:rFonts w:ascii="Aptos" w:hAnsi="Aptos"/>
                <w:b/>
                <w:color w:val="17212B"/>
                <w:sz w:val="17"/>
              </w:rPr>
              <w:t>health_consent / health_phi_encryption</w:t>
            </w:r>
          </w:p>
        </w:tc>
        <w:tc>
          <w:tcPr>
            <w:tcW w:type="dxa" w:w="3960"/>
            <w:vAlign w:val="center"/>
            <w:shd w:fill="F8FAFB"/>
            <w:tcMar>
              <w:top w:w="90" w:type="dxa"/>
              <w:start w:w="120" w:type="dxa"/>
              <w:bottom w:w="90" w:type="dxa"/>
              <w:end w:w="120" w:type="dxa"/>
            </w:tcMar>
          </w:tcPr>
          <w:p>
            <w:pPr>
              <w:spacing w:after="0" w:line="245" w:lineRule="auto"/>
            </w:pPr>
            <w:r>
              <w:rPr>
                <w:rFonts w:ascii="Aptos" w:hAnsi="Aptos"/>
                <w:b w:val="0"/>
                <w:color w:val="17212B"/>
                <w:sz w:val="17"/>
              </w:rPr>
              <w:t>Consent decisions, PHI encryption patterns</w:t>
            </w:r>
          </w:p>
        </w:tc>
        <w:tc>
          <w:tcPr>
            <w:tcW w:type="dxa" w:w="3311"/>
            <w:vAlign w:val="center"/>
            <w:shd w:fill="F8FAFB"/>
            <w:tcMar>
              <w:top w:w="90" w:type="dxa"/>
              <w:start w:w="120" w:type="dxa"/>
              <w:bottom w:w="90" w:type="dxa"/>
              <w:end w:w="120" w:type="dxa"/>
            </w:tcMar>
          </w:tcPr>
          <w:p>
            <w:pPr>
              <w:spacing w:after="0" w:line="245" w:lineRule="auto"/>
            </w:pPr>
            <w:r>
              <w:rPr>
                <w:rFonts w:ascii="Aptos" w:hAnsi="Aptos"/>
                <w:b w:val="0"/>
                <w:color w:val="17212B"/>
                <w:sz w:val="17"/>
              </w:rPr>
              <w:t>Mandatory gates for AI, composer, recordings, exports and identity merge</w:t>
            </w:r>
          </w:p>
        </w:tc>
      </w:tr>
      <w:tr>
        <w:trPr>
          <w:cantSplit/>
        </w:trPr>
        <w:tc>
          <w:tcPr>
            <w:tcW w:type="dxa" w:w="2088"/>
            <w:vAlign w:val="center"/>
            <w:tcMar>
              <w:top w:w="90" w:type="dxa"/>
              <w:start w:w="120" w:type="dxa"/>
              <w:bottom w:w="90" w:type="dxa"/>
              <w:end w:w="120" w:type="dxa"/>
            </w:tcMar>
          </w:tcPr>
          <w:p>
            <w:pPr>
              <w:spacing w:after="0" w:line="245" w:lineRule="auto"/>
            </w:pPr>
            <w:r>
              <w:rPr>
                <w:rFonts w:ascii="Aptos" w:hAnsi="Aptos"/>
                <w:b/>
                <w:color w:val="17212B"/>
                <w:sz w:val="17"/>
              </w:rPr>
              <w:t>New health_omnichannel</w:t>
            </w:r>
          </w:p>
        </w:tc>
        <w:tc>
          <w:tcPr>
            <w:tcW w:type="dxa" w:w="3960"/>
            <w:vAlign w:val="center"/>
            <w:tcMar>
              <w:top w:w="90" w:type="dxa"/>
              <w:start w:w="120" w:type="dxa"/>
              <w:bottom w:w="90" w:type="dxa"/>
              <w:end w:w="120" w:type="dxa"/>
            </w:tcMar>
          </w:tcPr>
          <w:p>
            <w:pPr>
              <w:spacing w:after="0" w:line="245" w:lineRule="auto"/>
            </w:pPr>
            <w:r>
              <w:rPr>
                <w:rFonts w:ascii="Aptos" w:hAnsi="Aptos"/>
                <w:b w:val="0"/>
                <w:color w:val="17212B"/>
                <w:sz w:val="17"/>
              </w:rPr>
              <w:t>Canonical work models, OWL workspace, routing, presence, AI governance, supervisor</w:t>
            </w:r>
          </w:p>
        </w:tc>
        <w:tc>
          <w:tcPr>
            <w:tcW w:type="dxa" w:w="3311"/>
            <w:vAlign w:val="center"/>
            <w:tcMar>
              <w:top w:w="90" w:type="dxa"/>
              <w:start w:w="120" w:type="dxa"/>
              <w:bottom w:w="90" w:type="dxa"/>
              <w:end w:w="120" w:type="dxa"/>
            </w:tcMar>
          </w:tcPr>
          <w:p>
            <w:pPr>
              <w:spacing w:after="0" w:line="245" w:lineRule="auto"/>
            </w:pPr>
            <w:r>
              <w:rPr>
                <w:rFonts w:ascii="Aptos" w:hAnsi="Aptos"/>
                <w:b w:val="0"/>
                <w:color w:val="17212B"/>
                <w:sz w:val="17"/>
              </w:rPr>
              <w:t>Owns orchestration; adapters remain source-specific</w:t>
            </w:r>
          </w:p>
        </w:tc>
      </w:tr>
    </w:tbl>
    <w:p>
      <w:pPr>
        <w:spacing w:after="20"/>
      </w:pPr>
    </w:p>
    <w:p>
      <w:pPr>
        <w:pStyle w:val="Heading2"/>
      </w:pPr>
      <w:r>
        <w:t>9.1 Canonical models</w:t>
      </w:r>
    </w:p>
    <w:tbl>
      <w:tblPr>
        <w:tblW w:type="dxa" w:w="936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2880"/>
        <w:gridCol w:w="6480"/>
      </w:tblGrid>
      <w:tr>
        <w:trPr>
          <w:tblHeader w:val="true"/>
          <w:cantSplit/>
        </w:trPr>
        <w:tc>
          <w:tcPr>
            <w:tcW w:type="dxa" w:w="2880"/>
            <w:shd w:fill="0E8A7B"/>
            <w:vAlign w:val="center"/>
            <w:tcMar>
              <w:top w:w="90" w:type="dxa"/>
              <w:start w:w="120" w:type="dxa"/>
              <w:bottom w:w="90" w:type="dxa"/>
              <w:end w:w="120" w:type="dxa"/>
            </w:tcMar>
          </w:tcPr>
          <w:p>
            <w:pPr>
              <w:spacing w:after="0"/>
              <w:jc w:val="left"/>
            </w:pPr>
            <w:r>
              <w:rPr>
                <w:rFonts w:ascii="Aptos" w:hAnsi="Aptos"/>
                <w:b/>
                <w:color w:val="FFFFFF"/>
                <w:sz w:val="17"/>
              </w:rPr>
              <w:t>Model</w:t>
            </w:r>
          </w:p>
        </w:tc>
        <w:tc>
          <w:tcPr>
            <w:tcW w:type="dxa" w:w="6480"/>
            <w:shd w:fill="0E8A7B"/>
            <w:vAlign w:val="center"/>
            <w:tcMar>
              <w:top w:w="90" w:type="dxa"/>
              <w:start w:w="120" w:type="dxa"/>
              <w:bottom w:w="90" w:type="dxa"/>
              <w:end w:w="120" w:type="dxa"/>
            </w:tcMar>
          </w:tcPr>
          <w:p>
            <w:pPr>
              <w:spacing w:after="0"/>
              <w:jc w:val="left"/>
            </w:pPr>
            <w:r>
              <w:rPr>
                <w:rFonts w:ascii="Aptos" w:hAnsi="Aptos"/>
                <w:b/>
                <w:color w:val="FFFFFF"/>
                <w:sz w:val="17"/>
              </w:rPr>
              <w:t>Purpose / important fields</w:t>
            </w:r>
          </w:p>
        </w:tc>
      </w:tr>
      <w:tr>
        <w:trPr>
          <w:cantSplit/>
        </w:trPr>
        <w:tc>
          <w:tcPr>
            <w:tcW w:type="dxa" w:w="2880"/>
            <w:vAlign w:val="center"/>
            <w:tcMar>
              <w:top w:w="90" w:type="dxa"/>
              <w:start w:w="120" w:type="dxa"/>
              <w:bottom w:w="90" w:type="dxa"/>
              <w:end w:w="120" w:type="dxa"/>
            </w:tcMar>
          </w:tcPr>
          <w:p>
            <w:pPr>
              <w:spacing w:after="0" w:line="245" w:lineRule="auto"/>
            </w:pPr>
            <w:r>
              <w:rPr>
                <w:rFonts w:ascii="Aptos" w:hAnsi="Aptos"/>
                <w:b/>
                <w:color w:val="17212B"/>
                <w:sz w:val="17"/>
              </w:rPr>
              <w:t>health.channel.account</w:t>
            </w:r>
          </w:p>
        </w:tc>
        <w:tc>
          <w:tcPr>
            <w:tcW w:type="dxa" w:w="6480"/>
            <w:vAlign w:val="center"/>
            <w:tcMar>
              <w:top w:w="90" w:type="dxa"/>
              <w:start w:w="120" w:type="dxa"/>
              <w:bottom w:w="90" w:type="dxa"/>
              <w:end w:w="120" w:type="dxa"/>
            </w:tcMar>
          </w:tcPr>
          <w:p>
            <w:pPr>
              <w:spacing w:after="0" w:line="245" w:lineRule="auto"/>
            </w:pPr>
            <w:r>
              <w:rPr>
                <w:rFonts w:ascii="Aptos" w:hAnsi="Aptos"/>
                <w:b w:val="0"/>
                <w:color w:val="17212B"/>
                <w:sz w:val="17"/>
              </w:rPr>
              <w:t>Provider/account/brand, channel type, company, credentials reference, health state</w:t>
            </w:r>
          </w:p>
        </w:tc>
      </w:tr>
      <w:tr>
        <w:trPr>
          <w:cantSplit/>
        </w:trPr>
        <w:tc>
          <w:tcPr>
            <w:tcW w:type="dxa" w:w="2880"/>
            <w:vAlign w:val="center"/>
            <w:shd w:fill="F8FAFB"/>
            <w:tcMar>
              <w:top w:w="90" w:type="dxa"/>
              <w:start w:w="120" w:type="dxa"/>
              <w:bottom w:w="90" w:type="dxa"/>
              <w:end w:w="120" w:type="dxa"/>
            </w:tcMar>
          </w:tcPr>
          <w:p>
            <w:pPr>
              <w:spacing w:after="0" w:line="245" w:lineRule="auto"/>
            </w:pPr>
            <w:r>
              <w:rPr>
                <w:rFonts w:ascii="Aptos" w:hAnsi="Aptos"/>
                <w:b/>
                <w:color w:val="17212B"/>
                <w:sz w:val="17"/>
              </w:rPr>
              <w:t>health.channel.identity</w:t>
            </w:r>
          </w:p>
        </w:tc>
        <w:tc>
          <w:tcPr>
            <w:tcW w:type="dxa" w:w="6480"/>
            <w:vAlign w:val="center"/>
            <w:shd w:fill="F8FAFB"/>
            <w:tcMar>
              <w:top w:w="90" w:type="dxa"/>
              <w:start w:w="120" w:type="dxa"/>
              <w:bottom w:w="90" w:type="dxa"/>
              <w:end w:w="120" w:type="dxa"/>
            </w:tcMar>
          </w:tcPr>
          <w:p>
            <w:pPr>
              <w:spacing w:after="0" w:line="245" w:lineRule="auto"/>
            </w:pPr>
            <w:r>
              <w:rPr>
                <w:rFonts w:ascii="Aptos" w:hAnsi="Aptos"/>
                <w:b w:val="0"/>
                <w:color w:val="17212B"/>
                <w:sz w:val="17"/>
              </w:rPr>
              <w:t>Provider-scoped external ID, phone/email, partner/patient link, verification, confidence, provenance</w:t>
            </w:r>
          </w:p>
        </w:tc>
      </w:tr>
      <w:tr>
        <w:trPr>
          <w:cantSplit/>
        </w:trPr>
        <w:tc>
          <w:tcPr>
            <w:tcW w:type="dxa" w:w="2880"/>
            <w:vAlign w:val="center"/>
            <w:tcMar>
              <w:top w:w="90" w:type="dxa"/>
              <w:start w:w="120" w:type="dxa"/>
              <w:bottom w:w="90" w:type="dxa"/>
              <w:end w:w="120" w:type="dxa"/>
            </w:tcMar>
          </w:tcPr>
          <w:p>
            <w:pPr>
              <w:spacing w:after="0" w:line="245" w:lineRule="auto"/>
            </w:pPr>
            <w:r>
              <w:rPr>
                <w:rFonts w:ascii="Aptos" w:hAnsi="Aptos"/>
                <w:b/>
                <w:color w:val="17212B"/>
                <w:sz w:val="17"/>
              </w:rPr>
              <w:t>health.conversation</w:t>
            </w:r>
          </w:p>
        </w:tc>
        <w:tc>
          <w:tcPr>
            <w:tcW w:type="dxa" w:w="6480"/>
            <w:vAlign w:val="center"/>
            <w:tcMar>
              <w:top w:w="90" w:type="dxa"/>
              <w:start w:w="120" w:type="dxa"/>
              <w:bottom w:w="90" w:type="dxa"/>
              <w:end w:w="120" w:type="dxa"/>
            </w:tcMar>
          </w:tcPr>
          <w:p>
            <w:pPr>
              <w:spacing w:after="0" w:line="245" w:lineRule="auto"/>
            </w:pPr>
            <w:r>
              <w:rPr>
                <w:rFonts w:ascii="Aptos" w:hAnsi="Aptos"/>
                <w:b w:val="0"/>
                <w:color w:val="17212B"/>
                <w:sz w:val="17"/>
              </w:rPr>
              <w:t>Cross-channel case container, caller, patient, relationship, state, priority, SLA, queue, owner</w:t>
            </w:r>
          </w:p>
        </w:tc>
      </w:tr>
      <w:tr>
        <w:trPr>
          <w:cantSplit/>
        </w:trPr>
        <w:tc>
          <w:tcPr>
            <w:tcW w:type="dxa" w:w="2880"/>
            <w:vAlign w:val="center"/>
            <w:shd w:fill="F8FAFB"/>
            <w:tcMar>
              <w:top w:w="90" w:type="dxa"/>
              <w:start w:w="120" w:type="dxa"/>
              <w:bottom w:w="90" w:type="dxa"/>
              <w:end w:w="120" w:type="dxa"/>
            </w:tcMar>
          </w:tcPr>
          <w:p>
            <w:pPr>
              <w:spacing w:after="0" w:line="245" w:lineRule="auto"/>
            </w:pPr>
            <w:r>
              <w:rPr>
                <w:rFonts w:ascii="Aptos" w:hAnsi="Aptos"/>
                <w:b/>
                <w:color w:val="17212B"/>
                <w:sz w:val="17"/>
              </w:rPr>
              <w:t>health.interaction</w:t>
            </w:r>
          </w:p>
        </w:tc>
        <w:tc>
          <w:tcPr>
            <w:tcW w:type="dxa" w:w="6480"/>
            <w:vAlign w:val="center"/>
            <w:shd w:fill="F8FAFB"/>
            <w:tcMar>
              <w:top w:w="90" w:type="dxa"/>
              <w:start w:w="120" w:type="dxa"/>
              <w:bottom w:w="90" w:type="dxa"/>
              <w:end w:w="120" w:type="dxa"/>
            </w:tcMar>
          </w:tcPr>
          <w:p>
            <w:pPr>
              <w:spacing w:after="0" w:line="245" w:lineRule="auto"/>
            </w:pPr>
            <w:r>
              <w:rPr>
                <w:rFonts w:ascii="Aptos" w:hAnsi="Aptos"/>
                <w:b w:val="0"/>
                <w:color w:val="17212B"/>
                <w:sz w:val="17"/>
              </w:rPr>
              <w:t>Immutable message/call/note/system event; direction, timestamps, source IDs, payload reference</w:t>
            </w:r>
          </w:p>
        </w:tc>
      </w:tr>
      <w:tr>
        <w:trPr>
          <w:cantSplit/>
        </w:trPr>
        <w:tc>
          <w:tcPr>
            <w:tcW w:type="dxa" w:w="2880"/>
            <w:vAlign w:val="center"/>
            <w:tcMar>
              <w:top w:w="90" w:type="dxa"/>
              <w:start w:w="120" w:type="dxa"/>
              <w:bottom w:w="90" w:type="dxa"/>
              <w:end w:w="120" w:type="dxa"/>
            </w:tcMar>
          </w:tcPr>
          <w:p>
            <w:pPr>
              <w:spacing w:after="0" w:line="245" w:lineRule="auto"/>
            </w:pPr>
            <w:r>
              <w:rPr>
                <w:rFonts w:ascii="Aptos" w:hAnsi="Aptos"/>
                <w:b/>
                <w:color w:val="17212B"/>
                <w:sz w:val="17"/>
              </w:rPr>
              <w:t>health.routing.queue / rule</w:t>
            </w:r>
          </w:p>
        </w:tc>
        <w:tc>
          <w:tcPr>
            <w:tcW w:type="dxa" w:w="6480"/>
            <w:vAlign w:val="center"/>
            <w:tcMar>
              <w:top w:w="90" w:type="dxa"/>
              <w:start w:w="120" w:type="dxa"/>
              <w:bottom w:w="90" w:type="dxa"/>
              <w:end w:w="120" w:type="dxa"/>
            </w:tcMar>
          </w:tcPr>
          <w:p>
            <w:pPr>
              <w:spacing w:after="0" w:line="245" w:lineRule="auto"/>
            </w:pPr>
            <w:r>
              <w:rPr>
                <w:rFonts w:ascii="Aptos" w:hAnsi="Aptos"/>
                <w:b w:val="0"/>
                <w:color w:val="17212B"/>
                <w:sz w:val="17"/>
              </w:rPr>
              <w:t>Eligibility, weights, capacity, overflow, hours, priority, versions and explanation</w:t>
            </w:r>
          </w:p>
        </w:tc>
      </w:tr>
      <w:tr>
        <w:trPr>
          <w:cantSplit/>
        </w:trPr>
        <w:tc>
          <w:tcPr>
            <w:tcW w:type="dxa" w:w="2880"/>
            <w:vAlign w:val="center"/>
            <w:shd w:fill="F8FAFB"/>
            <w:tcMar>
              <w:top w:w="90" w:type="dxa"/>
              <w:start w:w="120" w:type="dxa"/>
              <w:bottom w:w="90" w:type="dxa"/>
              <w:end w:w="120" w:type="dxa"/>
            </w:tcMar>
          </w:tcPr>
          <w:p>
            <w:pPr>
              <w:spacing w:after="0" w:line="245" w:lineRule="auto"/>
            </w:pPr>
            <w:r>
              <w:rPr>
                <w:rFonts w:ascii="Aptos" w:hAnsi="Aptos"/>
                <w:b/>
                <w:color w:val="17212B"/>
                <w:sz w:val="17"/>
              </w:rPr>
              <w:t>health.agent.presence</w:t>
            </w:r>
          </w:p>
        </w:tc>
        <w:tc>
          <w:tcPr>
            <w:tcW w:type="dxa" w:w="6480"/>
            <w:vAlign w:val="center"/>
            <w:shd w:fill="F8FAFB"/>
            <w:tcMar>
              <w:top w:w="90" w:type="dxa"/>
              <w:start w:w="120" w:type="dxa"/>
              <w:bottom w:w="90" w:type="dxa"/>
              <w:end w:w="120" w:type="dxa"/>
            </w:tcMar>
          </w:tcPr>
          <w:p>
            <w:pPr>
              <w:spacing w:after="0" w:line="245" w:lineRule="auto"/>
            </w:pPr>
            <w:r>
              <w:rPr>
                <w:rFonts w:ascii="Aptos" w:hAnsi="Aptos"/>
                <w:b w:val="0"/>
                <w:color w:val="17212B"/>
                <w:sz w:val="17"/>
              </w:rPr>
              <w:t>Status, channel capacities, skills, focus state, last assignment</w:t>
            </w:r>
          </w:p>
        </w:tc>
      </w:tr>
      <w:tr>
        <w:trPr>
          <w:cantSplit/>
        </w:trPr>
        <w:tc>
          <w:tcPr>
            <w:tcW w:type="dxa" w:w="2880"/>
            <w:vAlign w:val="center"/>
            <w:tcMar>
              <w:top w:w="90" w:type="dxa"/>
              <w:start w:w="120" w:type="dxa"/>
              <w:bottom w:w="90" w:type="dxa"/>
              <w:end w:w="120" w:type="dxa"/>
            </w:tcMar>
          </w:tcPr>
          <w:p>
            <w:pPr>
              <w:spacing w:after="0" w:line="245" w:lineRule="auto"/>
            </w:pPr>
            <w:r>
              <w:rPr>
                <w:rFonts w:ascii="Aptos" w:hAnsi="Aptos"/>
                <w:b/>
                <w:color w:val="17212B"/>
                <w:sz w:val="17"/>
              </w:rPr>
              <w:t>health.interaction.brief</w:t>
            </w:r>
          </w:p>
        </w:tc>
        <w:tc>
          <w:tcPr>
            <w:tcW w:type="dxa" w:w="6480"/>
            <w:vAlign w:val="center"/>
            <w:tcMar>
              <w:top w:w="90" w:type="dxa"/>
              <w:start w:w="120" w:type="dxa"/>
              <w:bottom w:w="90" w:type="dxa"/>
              <w:end w:w="120" w:type="dxa"/>
            </w:tcMar>
          </w:tcPr>
          <w:p>
            <w:pPr>
              <w:spacing w:after="0" w:line="245" w:lineRule="auto"/>
            </w:pPr>
            <w:r>
              <w:rPr>
                <w:rFonts w:ascii="Aptos" w:hAnsi="Aptos"/>
                <w:b w:val="0"/>
                <w:color w:val="17212B"/>
                <w:sz w:val="17"/>
              </w:rPr>
              <w:t>Structured AI/human brief, source event IDs, model/prompt version, verification state</w:t>
            </w:r>
          </w:p>
        </w:tc>
      </w:tr>
      <w:tr>
        <w:trPr>
          <w:cantSplit/>
        </w:trPr>
        <w:tc>
          <w:tcPr>
            <w:tcW w:type="dxa" w:w="2880"/>
            <w:vAlign w:val="center"/>
            <w:shd w:fill="F8FAFB"/>
            <w:tcMar>
              <w:top w:w="90" w:type="dxa"/>
              <w:start w:w="120" w:type="dxa"/>
              <w:bottom w:w="90" w:type="dxa"/>
              <w:end w:w="120" w:type="dxa"/>
            </w:tcMar>
          </w:tcPr>
          <w:p>
            <w:pPr>
              <w:spacing w:after="0" w:line="245" w:lineRule="auto"/>
            </w:pPr>
            <w:r>
              <w:rPr>
                <w:rFonts w:ascii="Aptos" w:hAnsi="Aptos"/>
                <w:b/>
                <w:color w:val="17212B"/>
                <w:sz w:val="17"/>
              </w:rPr>
              <w:t>health.commitment</w:t>
            </w:r>
          </w:p>
        </w:tc>
        <w:tc>
          <w:tcPr>
            <w:tcW w:type="dxa" w:w="6480"/>
            <w:vAlign w:val="center"/>
            <w:shd w:fill="F8FAFB"/>
            <w:tcMar>
              <w:top w:w="90" w:type="dxa"/>
              <w:start w:w="120" w:type="dxa"/>
              <w:bottom w:w="90" w:type="dxa"/>
              <w:end w:w="120" w:type="dxa"/>
            </w:tcMar>
          </w:tcPr>
          <w:p>
            <w:pPr>
              <w:spacing w:after="0" w:line="245" w:lineRule="auto"/>
            </w:pPr>
            <w:r>
              <w:rPr>
                <w:rFonts w:ascii="Aptos" w:hAnsi="Aptos"/>
                <w:b w:val="0"/>
                <w:color w:val="17212B"/>
                <w:sz w:val="17"/>
              </w:rPr>
              <w:t>Promised action, owner, due time, source event, completion and breach state</w:t>
            </w:r>
          </w:p>
        </w:tc>
      </w:tr>
      <w:tr>
        <w:trPr>
          <w:cantSplit/>
        </w:trPr>
        <w:tc>
          <w:tcPr>
            <w:tcW w:type="dxa" w:w="2880"/>
            <w:vAlign w:val="center"/>
            <w:tcMar>
              <w:top w:w="90" w:type="dxa"/>
              <w:start w:w="120" w:type="dxa"/>
              <w:bottom w:w="90" w:type="dxa"/>
              <w:end w:w="120" w:type="dxa"/>
            </w:tcMar>
          </w:tcPr>
          <w:p>
            <w:pPr>
              <w:spacing w:after="0" w:line="245" w:lineRule="auto"/>
            </w:pPr>
            <w:r>
              <w:rPr>
                <w:rFonts w:ascii="Aptos" w:hAnsi="Aptos"/>
                <w:b/>
                <w:color w:val="17212B"/>
                <w:sz w:val="17"/>
              </w:rPr>
              <w:t>health.escalation</w:t>
            </w:r>
          </w:p>
        </w:tc>
        <w:tc>
          <w:tcPr>
            <w:tcW w:type="dxa" w:w="6480"/>
            <w:vAlign w:val="center"/>
            <w:tcMar>
              <w:top w:w="90" w:type="dxa"/>
              <w:start w:w="120" w:type="dxa"/>
              <w:bottom w:w="90" w:type="dxa"/>
              <w:end w:w="120" w:type="dxa"/>
            </w:tcMar>
          </w:tcPr>
          <w:p>
            <w:pPr>
              <w:spacing w:after="0" w:line="245" w:lineRule="auto"/>
            </w:pPr>
            <w:r>
              <w:rPr>
                <w:rFonts w:ascii="Aptos" w:hAnsi="Aptos"/>
                <w:b w:val="0"/>
                <w:color w:val="17212B"/>
                <w:sz w:val="17"/>
              </w:rPr>
              <w:t>Protocol, trigger, non-clinical evidence, owner, acceptance and resolution timestamps</w:t>
            </w:r>
          </w:p>
        </w:tc>
      </w:tr>
      <w:tr>
        <w:trPr>
          <w:cantSplit/>
        </w:trPr>
        <w:tc>
          <w:tcPr>
            <w:tcW w:type="dxa" w:w="2880"/>
            <w:vAlign w:val="center"/>
            <w:shd w:fill="F8FAFB"/>
            <w:tcMar>
              <w:top w:w="90" w:type="dxa"/>
              <w:start w:w="120" w:type="dxa"/>
              <w:bottom w:w="90" w:type="dxa"/>
              <w:end w:w="120" w:type="dxa"/>
            </w:tcMar>
          </w:tcPr>
          <w:p>
            <w:pPr>
              <w:spacing w:after="0" w:line="245" w:lineRule="auto"/>
            </w:pPr>
            <w:r>
              <w:rPr>
                <w:rFonts w:ascii="Aptos" w:hAnsi="Aptos"/>
                <w:b/>
                <w:color w:val="17212B"/>
                <w:sz w:val="17"/>
              </w:rPr>
              <w:t>health.ai.audit</w:t>
            </w:r>
          </w:p>
        </w:tc>
        <w:tc>
          <w:tcPr>
            <w:tcW w:type="dxa" w:w="6480"/>
            <w:vAlign w:val="center"/>
            <w:shd w:fill="F8FAFB"/>
            <w:tcMar>
              <w:top w:w="90" w:type="dxa"/>
              <w:start w:w="120" w:type="dxa"/>
              <w:bottom w:w="90" w:type="dxa"/>
              <w:end w:w="120" w:type="dxa"/>
            </w:tcMar>
          </w:tcPr>
          <w:p>
            <w:pPr>
              <w:spacing w:after="0" w:line="245" w:lineRule="auto"/>
            </w:pPr>
            <w:r>
              <w:rPr>
                <w:rFonts w:ascii="Aptos" w:hAnsi="Aptos"/>
                <w:b w:val="0"/>
                <w:color w:val="17212B"/>
                <w:sz w:val="17"/>
              </w:rPr>
              <w:t>Input references, redaction, output, source coverage, actions, user edits, approval/override</w:t>
            </w:r>
          </w:p>
        </w:tc>
      </w:tr>
    </w:tbl>
    <w:p>
      <w:pPr>
        <w:spacing w:after="20"/>
      </w:pPr>
    </w:p>
    <w:p>
      <w:pPr>
        <w:pStyle w:val="Heading2"/>
      </w:pPr>
      <w:r>
        <w:t>9.2 Non-negotiable architectural decisions</w:t>
      </w:r>
    </w:p>
    <w:p>
      <w:pPr>
        <w:pStyle w:val="ListBullet"/>
      </w:pPr>
      <w:r>
        <w:rPr>
          <w:rFonts w:ascii="Aptos" w:hAnsi="Aptos"/>
          <w:color w:val="17212B"/>
          <w:sz w:val="20"/>
        </w:rPr>
        <w:t>Use provider adapters and idempotent external IDs. Never duplicate an interaction on webhook retry.</w:t>
      </w:r>
    </w:p>
    <w:p>
      <w:pPr>
        <w:pStyle w:val="ListBullet"/>
      </w:pPr>
      <w:r>
        <w:rPr>
          <w:rFonts w:ascii="Aptos" w:hAnsi="Aptos"/>
          <w:color w:val="17212B"/>
          <w:sz w:val="20"/>
        </w:rPr>
        <w:t>Canonical interaction records reference source records; do not destructively migrate or delete source histories in phase 1.</w:t>
      </w:r>
    </w:p>
    <w:p>
      <w:pPr>
        <w:pStyle w:val="ListBullet"/>
      </w:pPr>
      <w:r>
        <w:rPr>
          <w:rFonts w:ascii="Aptos" w:hAnsi="Aptos"/>
          <w:color w:val="17212B"/>
          <w:sz w:val="20"/>
        </w:rPr>
        <w:t>Use Odoo bus for live UI updates and a durable job/outbox pattern for outbound delivery, webhook processing and AI tasks.</w:t>
      </w:r>
    </w:p>
    <w:p>
      <w:pPr>
        <w:pStyle w:val="ListBullet"/>
      </w:pPr>
      <w:r>
        <w:rPr>
          <w:rFonts w:ascii="Aptos" w:hAnsi="Aptos"/>
          <w:color w:val="17212B"/>
          <w:sz w:val="20"/>
        </w:rPr>
        <w:t>Keep PHI payloads encrypted; store search-safe derived metadata separately and minimally.</w:t>
      </w:r>
    </w:p>
    <w:p>
      <w:pPr>
        <w:pStyle w:val="ListBullet"/>
      </w:pPr>
      <w:r>
        <w:rPr>
          <w:rFonts w:ascii="Aptos" w:hAnsi="Aptos"/>
          <w:color w:val="17212B"/>
          <w:sz w:val="20"/>
        </w:rPr>
        <w:t>Use a stable patient/partner ID as the identity anchor. Phone, email and Zalo UID are match signals with provenance.</w:t>
      </w:r>
    </w:p>
    <w:p>
      <w:pPr>
        <w:pStyle w:val="ListBullet"/>
      </w:pPr>
      <w:r>
        <w:rPr>
          <w:rFonts w:ascii="Aptos" w:hAnsi="Aptos"/>
          <w:color w:val="17212B"/>
          <w:sz w:val="20"/>
        </w:rPr>
        <w:t>All AI outputs are derived artefacts. They never replace the immutable interaction record.</w:t>
      </w:r>
    </w:p>
    <w:p>
      <w:pPr>
        <w:pStyle w:val="ListBullet"/>
      </w:pPr>
      <w:r>
        <w:rPr>
          <w:rFonts w:ascii="Aptos" w:hAnsi="Aptos"/>
          <w:color w:val="17212B"/>
          <w:sz w:val="20"/>
        </w:rPr>
        <w:t>Feature flags and simulation mode are required for each channel, routing policy and AI capability.</w:t>
      </w:r>
    </w:p>
    <w:p>
      <w:pPr>
        <w:pStyle w:val="Heading1"/>
      </w:pPr>
      <w:r>
        <w:t>10. Delivery roadmap</w:t>
      </w:r>
    </w:p>
    <w:tbl>
      <w:tblPr>
        <w:tblW w:type="dxa" w:w="936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1584"/>
        <w:gridCol w:w="4680"/>
        <w:gridCol w:w="3096"/>
      </w:tblGrid>
      <w:tr>
        <w:trPr>
          <w:tblHeader w:val="true"/>
          <w:cantSplit/>
        </w:trPr>
        <w:tc>
          <w:tcPr>
            <w:tcW w:type="dxa" w:w="1584"/>
            <w:shd w:fill="0B2545"/>
            <w:vAlign w:val="center"/>
            <w:tcMar>
              <w:top w:w="90" w:type="dxa"/>
              <w:start w:w="120" w:type="dxa"/>
              <w:bottom w:w="90" w:type="dxa"/>
              <w:end w:w="120" w:type="dxa"/>
            </w:tcMar>
          </w:tcPr>
          <w:p>
            <w:pPr>
              <w:spacing w:after="0"/>
              <w:jc w:val="left"/>
            </w:pPr>
            <w:r>
              <w:rPr>
                <w:rFonts w:ascii="Aptos" w:hAnsi="Aptos"/>
                <w:b/>
                <w:color w:val="FFFFFF"/>
                <w:sz w:val="17"/>
              </w:rPr>
              <w:t>Phase</w:t>
            </w:r>
          </w:p>
        </w:tc>
        <w:tc>
          <w:tcPr>
            <w:tcW w:type="dxa" w:w="4680"/>
            <w:shd w:fill="0B2545"/>
            <w:vAlign w:val="center"/>
            <w:tcMar>
              <w:top w:w="90" w:type="dxa"/>
              <w:start w:w="120" w:type="dxa"/>
              <w:bottom w:w="90" w:type="dxa"/>
              <w:end w:w="120" w:type="dxa"/>
            </w:tcMar>
          </w:tcPr>
          <w:p>
            <w:pPr>
              <w:spacing w:after="0"/>
              <w:jc w:val="left"/>
            </w:pPr>
            <w:r>
              <w:rPr>
                <w:rFonts w:ascii="Aptos" w:hAnsi="Aptos"/>
                <w:b/>
                <w:color w:val="FFFFFF"/>
                <w:sz w:val="17"/>
              </w:rPr>
              <w:t>Scope</w:t>
            </w:r>
          </w:p>
        </w:tc>
        <w:tc>
          <w:tcPr>
            <w:tcW w:type="dxa" w:w="3096"/>
            <w:shd w:fill="0B2545"/>
            <w:vAlign w:val="center"/>
            <w:tcMar>
              <w:top w:w="90" w:type="dxa"/>
              <w:start w:w="120" w:type="dxa"/>
              <w:bottom w:w="90" w:type="dxa"/>
              <w:end w:w="120" w:type="dxa"/>
            </w:tcMar>
          </w:tcPr>
          <w:p>
            <w:pPr>
              <w:spacing w:after="0"/>
              <w:jc w:val="left"/>
            </w:pPr>
            <w:r>
              <w:rPr>
                <w:rFonts w:ascii="Aptos" w:hAnsi="Aptos"/>
                <w:b/>
                <w:color w:val="FFFFFF"/>
                <w:sz w:val="17"/>
              </w:rPr>
              <w:t>Exit criteria</w:t>
            </w:r>
          </w:p>
        </w:tc>
      </w:tr>
      <w:tr>
        <w:trPr>
          <w:cantSplit/>
        </w:trPr>
        <w:tc>
          <w:tcPr>
            <w:tcW w:type="dxa" w:w="1584"/>
            <w:vAlign w:val="center"/>
            <w:tcMar>
              <w:top w:w="90" w:type="dxa"/>
              <w:start w:w="120" w:type="dxa"/>
              <w:bottom w:w="90" w:type="dxa"/>
              <w:end w:w="120" w:type="dxa"/>
            </w:tcMar>
          </w:tcPr>
          <w:p>
            <w:pPr>
              <w:spacing w:after="0" w:line="245" w:lineRule="auto"/>
            </w:pPr>
            <w:r>
              <w:rPr>
                <w:rFonts w:ascii="Aptos" w:hAnsi="Aptos"/>
                <w:b/>
                <w:color w:val="17212B"/>
                <w:sz w:val="17"/>
              </w:rPr>
              <w:t>0 — foundations</w:t>
            </w:r>
          </w:p>
        </w:tc>
        <w:tc>
          <w:tcPr>
            <w:tcW w:type="dxa" w:w="4680"/>
            <w:vAlign w:val="center"/>
            <w:tcMar>
              <w:top w:w="90" w:type="dxa"/>
              <w:start w:w="120" w:type="dxa"/>
              <w:bottom w:w="90" w:type="dxa"/>
              <w:end w:w="120" w:type="dxa"/>
            </w:tcMar>
          </w:tcPr>
          <w:p>
            <w:pPr>
              <w:spacing w:after="0" w:line="245" w:lineRule="auto"/>
            </w:pPr>
            <w:r>
              <w:rPr>
                <w:rFonts w:ascii="Aptos" w:hAnsi="Aptos"/>
                <w:b w:val="0"/>
                <w:color w:val="17212B"/>
                <w:sz w:val="17"/>
              </w:rPr>
              <w:t>Event model, permissions, consent/AI policy, UX prototype, migration mapping</w:t>
            </w:r>
          </w:p>
        </w:tc>
        <w:tc>
          <w:tcPr>
            <w:tcW w:type="dxa" w:w="3096"/>
            <w:vAlign w:val="center"/>
            <w:tcMar>
              <w:top w:w="90" w:type="dxa"/>
              <w:start w:w="120" w:type="dxa"/>
              <w:bottom w:w="90" w:type="dxa"/>
              <w:end w:w="120" w:type="dxa"/>
            </w:tcMar>
          </w:tcPr>
          <w:p>
            <w:pPr>
              <w:spacing w:after="0" w:line="245" w:lineRule="auto"/>
            </w:pPr>
            <w:r>
              <w:rPr>
                <w:rFonts w:ascii="Aptos" w:hAnsi="Aptos"/>
                <w:b w:val="0"/>
                <w:color w:val="17212B"/>
                <w:sz w:val="17"/>
              </w:rPr>
              <w:t>Threat model and clinical/legal sign-off; synthetic demo</w:t>
            </w:r>
          </w:p>
        </w:tc>
      </w:tr>
      <w:tr>
        <w:trPr>
          <w:cantSplit/>
        </w:trPr>
        <w:tc>
          <w:tcPr>
            <w:tcW w:type="dxa" w:w="1584"/>
            <w:vAlign w:val="center"/>
            <w:shd w:fill="F8FAFB"/>
            <w:tcMar>
              <w:top w:w="90" w:type="dxa"/>
              <w:start w:w="120" w:type="dxa"/>
              <w:bottom w:w="90" w:type="dxa"/>
              <w:end w:w="120" w:type="dxa"/>
            </w:tcMar>
          </w:tcPr>
          <w:p>
            <w:pPr>
              <w:spacing w:after="0" w:line="245" w:lineRule="auto"/>
            </w:pPr>
            <w:r>
              <w:rPr>
                <w:rFonts w:ascii="Aptos" w:hAnsi="Aptos"/>
                <w:b/>
                <w:color w:val="17212B"/>
                <w:sz w:val="17"/>
              </w:rPr>
              <w:t>1 — unified read</w:t>
            </w:r>
          </w:p>
        </w:tc>
        <w:tc>
          <w:tcPr>
            <w:tcW w:type="dxa" w:w="4680"/>
            <w:vAlign w:val="center"/>
            <w:shd w:fill="F8FAFB"/>
            <w:tcMar>
              <w:top w:w="90" w:type="dxa"/>
              <w:start w:w="120" w:type="dxa"/>
              <w:bottom w:w="90" w:type="dxa"/>
              <w:end w:w="120" w:type="dxa"/>
            </w:tcMar>
          </w:tcPr>
          <w:p>
            <w:pPr>
              <w:spacing w:after="0" w:line="245" w:lineRule="auto"/>
            </w:pPr>
            <w:r>
              <w:rPr>
                <w:rFonts w:ascii="Aptos" w:hAnsi="Aptos"/>
                <w:b w:val="0"/>
                <w:color w:val="17212B"/>
                <w:sz w:val="17"/>
              </w:rPr>
              <w:t>Care Command shell; Zalo + VoIP histories; identity and relationship rail</w:t>
            </w:r>
          </w:p>
        </w:tc>
        <w:tc>
          <w:tcPr>
            <w:tcW w:type="dxa" w:w="3096"/>
            <w:vAlign w:val="center"/>
            <w:shd w:fill="F8FAFB"/>
            <w:tcMar>
              <w:top w:w="90" w:type="dxa"/>
              <w:start w:w="120" w:type="dxa"/>
              <w:bottom w:w="90" w:type="dxa"/>
              <w:end w:w="120" w:type="dxa"/>
            </w:tcMar>
          </w:tcPr>
          <w:p>
            <w:pPr>
              <w:spacing w:after="0" w:line="245" w:lineRule="auto"/>
            </w:pPr>
            <w:r>
              <w:rPr>
                <w:rFonts w:ascii="Aptos" w:hAnsi="Aptos"/>
                <w:b w:val="0"/>
                <w:color w:val="17212B"/>
                <w:sz w:val="17"/>
              </w:rPr>
              <w:t>No duplicate events; role tests; &lt;2 s open on representative data</w:t>
            </w:r>
          </w:p>
        </w:tc>
      </w:tr>
      <w:tr>
        <w:trPr>
          <w:cantSplit/>
        </w:trPr>
        <w:tc>
          <w:tcPr>
            <w:tcW w:type="dxa" w:w="1584"/>
            <w:vAlign w:val="center"/>
            <w:tcMar>
              <w:top w:w="90" w:type="dxa"/>
              <w:start w:w="120" w:type="dxa"/>
              <w:bottom w:w="90" w:type="dxa"/>
              <w:end w:w="120" w:type="dxa"/>
            </w:tcMar>
          </w:tcPr>
          <w:p>
            <w:pPr>
              <w:spacing w:after="0" w:line="245" w:lineRule="auto"/>
            </w:pPr>
            <w:r>
              <w:rPr>
                <w:rFonts w:ascii="Aptos" w:hAnsi="Aptos"/>
                <w:b/>
                <w:color w:val="17212B"/>
                <w:sz w:val="17"/>
              </w:rPr>
              <w:t>2 — work + route</w:t>
            </w:r>
          </w:p>
        </w:tc>
        <w:tc>
          <w:tcPr>
            <w:tcW w:type="dxa" w:w="4680"/>
            <w:vAlign w:val="center"/>
            <w:tcMar>
              <w:top w:w="90" w:type="dxa"/>
              <w:start w:w="120" w:type="dxa"/>
              <w:bottom w:w="90" w:type="dxa"/>
              <w:end w:w="120" w:type="dxa"/>
            </w:tcMar>
          </w:tcPr>
          <w:p>
            <w:pPr>
              <w:spacing w:after="0" w:line="245" w:lineRule="auto"/>
            </w:pPr>
            <w:r>
              <w:rPr>
                <w:rFonts w:ascii="Aptos" w:hAnsi="Aptos"/>
                <w:b w:val="0"/>
                <w:color w:val="17212B"/>
                <w:sz w:val="17"/>
              </w:rPr>
              <w:t>Assignment, presence, SLAs, callbacks, composer, dialler and explainable routing</w:t>
            </w:r>
          </w:p>
        </w:tc>
        <w:tc>
          <w:tcPr>
            <w:tcW w:type="dxa" w:w="3096"/>
            <w:vAlign w:val="center"/>
            <w:tcMar>
              <w:top w:w="90" w:type="dxa"/>
              <w:start w:w="120" w:type="dxa"/>
              <w:bottom w:w="90" w:type="dxa"/>
              <w:end w:w="120" w:type="dxa"/>
            </w:tcMar>
          </w:tcPr>
          <w:p>
            <w:pPr>
              <w:spacing w:after="0" w:line="245" w:lineRule="auto"/>
            </w:pPr>
            <w:r>
              <w:rPr>
                <w:rFonts w:ascii="Aptos" w:hAnsi="Aptos"/>
                <w:b w:val="0"/>
                <w:color w:val="17212B"/>
                <w:sz w:val="17"/>
              </w:rPr>
              <w:t>Replayable routing tests; delivery/outbox resilience</w:t>
            </w:r>
          </w:p>
        </w:tc>
      </w:tr>
      <w:tr>
        <w:trPr>
          <w:cantSplit/>
        </w:trPr>
        <w:tc>
          <w:tcPr>
            <w:tcW w:type="dxa" w:w="1584"/>
            <w:vAlign w:val="center"/>
            <w:shd w:fill="F8FAFB"/>
            <w:tcMar>
              <w:top w:w="90" w:type="dxa"/>
              <w:start w:w="120" w:type="dxa"/>
              <w:bottom w:w="90" w:type="dxa"/>
              <w:end w:w="120" w:type="dxa"/>
            </w:tcMar>
          </w:tcPr>
          <w:p>
            <w:pPr>
              <w:spacing w:after="0" w:line="245" w:lineRule="auto"/>
            </w:pPr>
            <w:r>
              <w:rPr>
                <w:rFonts w:ascii="Aptos" w:hAnsi="Aptos"/>
                <w:b/>
                <w:color w:val="17212B"/>
                <w:sz w:val="17"/>
              </w:rPr>
              <w:t>3 — AI assist</w:t>
            </w:r>
          </w:p>
        </w:tc>
        <w:tc>
          <w:tcPr>
            <w:tcW w:type="dxa" w:w="4680"/>
            <w:vAlign w:val="center"/>
            <w:shd w:fill="F8FAFB"/>
            <w:tcMar>
              <w:top w:w="90" w:type="dxa"/>
              <w:start w:w="120" w:type="dxa"/>
              <w:bottom w:w="90" w:type="dxa"/>
              <w:end w:w="120" w:type="dxa"/>
            </w:tcMar>
          </w:tcPr>
          <w:p>
            <w:pPr>
              <w:spacing w:after="0" w:line="245" w:lineRule="auto"/>
            </w:pPr>
            <w:r>
              <w:rPr>
                <w:rFonts w:ascii="Aptos" w:hAnsi="Aptos"/>
                <w:b w:val="0"/>
                <w:color w:val="17212B"/>
                <w:sz w:val="17"/>
              </w:rPr>
              <w:t>Continuity Brief, wrap-up, bilingual draft, commitments and source trace</w:t>
            </w:r>
          </w:p>
        </w:tc>
        <w:tc>
          <w:tcPr>
            <w:tcW w:type="dxa" w:w="3096"/>
            <w:vAlign w:val="center"/>
            <w:shd w:fill="F8FAFB"/>
            <w:tcMar>
              <w:top w:w="90" w:type="dxa"/>
              <w:start w:w="120" w:type="dxa"/>
              <w:bottom w:w="90" w:type="dxa"/>
              <w:end w:w="120" w:type="dxa"/>
            </w:tcMar>
          </w:tcPr>
          <w:p>
            <w:pPr>
              <w:spacing w:after="0" w:line="245" w:lineRule="auto"/>
            </w:pPr>
            <w:r>
              <w:rPr>
                <w:rFonts w:ascii="Aptos" w:hAnsi="Aptos"/>
                <w:b w:val="0"/>
                <w:color w:val="17212B"/>
                <w:sz w:val="17"/>
              </w:rPr>
              <w:t>Offline fallback; human review; hallucination and PHI leakage test suite</w:t>
            </w:r>
          </w:p>
        </w:tc>
      </w:tr>
      <w:tr>
        <w:trPr>
          <w:cantSplit/>
        </w:trPr>
        <w:tc>
          <w:tcPr>
            <w:tcW w:type="dxa" w:w="1584"/>
            <w:vAlign w:val="center"/>
            <w:tcMar>
              <w:top w:w="90" w:type="dxa"/>
              <w:start w:w="120" w:type="dxa"/>
              <w:bottom w:w="90" w:type="dxa"/>
              <w:end w:w="120" w:type="dxa"/>
            </w:tcMar>
          </w:tcPr>
          <w:p>
            <w:pPr>
              <w:spacing w:after="0" w:line="245" w:lineRule="auto"/>
            </w:pPr>
            <w:r>
              <w:rPr>
                <w:rFonts w:ascii="Aptos" w:hAnsi="Aptos"/>
                <w:b/>
                <w:color w:val="17212B"/>
                <w:sz w:val="17"/>
              </w:rPr>
              <w:t>4 — supervisor</w:t>
            </w:r>
          </w:p>
        </w:tc>
        <w:tc>
          <w:tcPr>
            <w:tcW w:type="dxa" w:w="4680"/>
            <w:vAlign w:val="center"/>
            <w:tcMar>
              <w:top w:w="90" w:type="dxa"/>
              <w:start w:w="120" w:type="dxa"/>
              <w:bottom w:w="90" w:type="dxa"/>
              <w:end w:w="120" w:type="dxa"/>
            </w:tcMar>
          </w:tcPr>
          <w:p>
            <w:pPr>
              <w:spacing w:after="0" w:line="245" w:lineRule="auto"/>
            </w:pPr>
            <w:r>
              <w:rPr>
                <w:rFonts w:ascii="Aptos" w:hAnsi="Aptos"/>
                <w:b w:val="0"/>
                <w:color w:val="17212B"/>
                <w:sz w:val="17"/>
              </w:rPr>
              <w:t>Live operations, quality samples, coaching, AI governance and channel health</w:t>
            </w:r>
          </w:p>
        </w:tc>
        <w:tc>
          <w:tcPr>
            <w:tcW w:type="dxa" w:w="3096"/>
            <w:vAlign w:val="center"/>
            <w:tcMar>
              <w:top w:w="90" w:type="dxa"/>
              <w:start w:w="120" w:type="dxa"/>
              <w:bottom w:w="90" w:type="dxa"/>
              <w:end w:w="120" w:type="dxa"/>
            </w:tcMar>
          </w:tcPr>
          <w:p>
            <w:pPr>
              <w:spacing w:after="0" w:line="245" w:lineRule="auto"/>
            </w:pPr>
            <w:r>
              <w:rPr>
                <w:rFonts w:ascii="Aptos" w:hAnsi="Aptos"/>
                <w:b w:val="0"/>
                <w:color w:val="17212B"/>
                <w:sz w:val="17"/>
              </w:rPr>
              <w:t>Manager scenario tests; audited interventions</w:t>
            </w:r>
          </w:p>
        </w:tc>
      </w:tr>
      <w:tr>
        <w:trPr>
          <w:cantSplit/>
        </w:trPr>
        <w:tc>
          <w:tcPr>
            <w:tcW w:type="dxa" w:w="1584"/>
            <w:vAlign w:val="center"/>
            <w:shd w:fill="F8FAFB"/>
            <w:tcMar>
              <w:top w:w="90" w:type="dxa"/>
              <w:start w:w="120" w:type="dxa"/>
              <w:bottom w:w="90" w:type="dxa"/>
              <w:end w:w="120" w:type="dxa"/>
            </w:tcMar>
          </w:tcPr>
          <w:p>
            <w:pPr>
              <w:spacing w:after="0" w:line="245" w:lineRule="auto"/>
            </w:pPr>
            <w:r>
              <w:rPr>
                <w:rFonts w:ascii="Aptos" w:hAnsi="Aptos"/>
                <w:b/>
                <w:color w:val="17212B"/>
                <w:sz w:val="17"/>
              </w:rPr>
              <w:t>5 — optimisation</w:t>
            </w:r>
          </w:p>
        </w:tc>
        <w:tc>
          <w:tcPr>
            <w:tcW w:type="dxa" w:w="4680"/>
            <w:vAlign w:val="center"/>
            <w:shd w:fill="F8FAFB"/>
            <w:tcMar>
              <w:top w:w="90" w:type="dxa"/>
              <w:start w:w="120" w:type="dxa"/>
              <w:bottom w:w="90" w:type="dxa"/>
              <w:end w:w="120" w:type="dxa"/>
            </w:tcMar>
          </w:tcPr>
          <w:p>
            <w:pPr>
              <w:spacing w:after="0" w:line="245" w:lineRule="auto"/>
            </w:pPr>
            <w:r>
              <w:rPr>
                <w:rFonts w:ascii="Aptos" w:hAnsi="Aptos"/>
                <w:b w:val="0"/>
                <w:color w:val="17212B"/>
                <w:sz w:val="17"/>
              </w:rPr>
              <w:t>Predictive recommendations, staffing, expanded channels and optional CCaaS adapter</w:t>
            </w:r>
          </w:p>
        </w:tc>
        <w:tc>
          <w:tcPr>
            <w:tcW w:type="dxa" w:w="3096"/>
            <w:vAlign w:val="center"/>
            <w:shd w:fill="F8FAFB"/>
            <w:tcMar>
              <w:top w:w="90" w:type="dxa"/>
              <w:start w:w="120" w:type="dxa"/>
              <w:bottom w:w="90" w:type="dxa"/>
              <w:end w:w="120" w:type="dxa"/>
            </w:tcMar>
          </w:tcPr>
          <w:p>
            <w:pPr>
              <w:spacing w:after="0" w:line="245" w:lineRule="auto"/>
            </w:pPr>
            <w:r>
              <w:rPr>
                <w:rFonts w:ascii="Aptos" w:hAnsi="Aptos"/>
                <w:b w:val="0"/>
                <w:color w:val="17212B"/>
                <w:sz w:val="17"/>
              </w:rPr>
              <w:t>Measured benefit without safety or fairness regression</w:t>
            </w:r>
          </w:p>
        </w:tc>
      </w:tr>
    </w:tbl>
    <w:p>
      <w:pPr>
        <w:spacing w:after="20"/>
      </w:pPr>
    </w:p>
    <w:p>
      <w:pPr>
        <w:pStyle w:val="Heading1"/>
      </w:pPr>
      <w:r>
        <w:t>11. Full implementation prompt for the Health19 coding agent</w:t>
      </w:r>
    </w:p>
    <w:p>
      <w:pPr>
        <w:pStyle w:val="Callout"/>
        <w:keepLines/>
      </w:pPr>
      <w:r>
        <w:rPr>
          <w:rFonts w:ascii="Aptos" w:hAnsi="Aptos"/>
          <w:b/>
          <w:color w:val="0B2545"/>
          <w:sz w:val="20"/>
        </w:rPr>
        <w:t xml:space="preserve">HOW TO USE  </w:t>
      </w:r>
      <w:r>
        <w:rPr>
          <w:rFonts w:ascii="Aptos" w:hAnsi="Aptos"/>
          <w:b w:val="0"/>
          <w:color w:val="17212B"/>
          <w:sz w:val="20"/>
        </w:rPr>
        <w:t>Paste the following section into the implementation task. It is intentionally explicit. The coding agent must inspect the repository, preserve existing behaviour, implement incrementally, test, and stop for decisions that affect clinical/legal policy or external credentials.</w:t>
      </w:r>
    </w:p>
    <w:p>
      <w:pPr>
        <w:pStyle w:val="Heading2"/>
      </w:pPr>
      <w:r>
        <w:t>ROLE AND OUTCOME</w:t>
      </w:r>
    </w:p>
    <w:p>
      <w:pPr>
        <w:pStyle w:val="ListBullet"/>
      </w:pPr>
      <w:r>
        <w:rPr>
          <w:rFonts w:ascii="Aptos" w:hAnsi="Aptos"/>
          <w:color w:val="17212B"/>
          <w:sz w:val="20"/>
        </w:rPr>
        <w:t>You are a senior Odoo 19 product engineer, OWL frontend architect, contact-centre designer and healthcare privacy engineer working inside the existing Health19 repository.</w:t>
      </w:r>
    </w:p>
    <w:p>
      <w:pPr>
        <w:pStyle w:val="ListBullet"/>
      </w:pPr>
      <w:r>
        <w:rPr>
          <w:rFonts w:ascii="Aptos" w:hAnsi="Aptos"/>
          <w:color w:val="17212B"/>
          <w:sz w:val="20"/>
        </w:rPr>
        <w:t>Build a production-quality, healthcare-first omnichannel agent workspace named “Care Command” for Sales Admins and Managers. It must unify calls, Zalo messages and follow-up work while preserving Health19’s existing CRM, booking, consent, PHI encryption, messaging and family-communication behaviour.</w:t>
      </w:r>
    </w:p>
    <w:p>
      <w:pPr>
        <w:pStyle w:val="ListBullet"/>
      </w:pPr>
      <w:r>
        <w:rPr>
          <w:rFonts w:ascii="Aptos" w:hAnsi="Aptos"/>
          <w:color w:val="17212B"/>
          <w:sz w:val="20"/>
        </w:rPr>
        <w:t>The outcome is not a generic ticket inbox and not a visual clone of Pancake. It is a differentiated care-relationship workspace where an agent understands caller, patient, relationship, intent, booking, consent, commitments, safety/escalation state and next action within five seconds.</w:t>
      </w:r>
    </w:p>
    <w:p>
      <w:pPr>
        <w:pStyle w:val="Heading2"/>
      </w:pPr>
      <w:r>
        <w:t>REPOSITORY CONTEXT TO VERIFY BEFORE EDITING</w:t>
      </w:r>
    </w:p>
    <w:p>
      <w:pPr>
        <w:pStyle w:val="ListBullet"/>
      </w:pPr>
      <w:r>
        <w:rPr>
          <w:rFonts w:ascii="Aptos" w:hAnsi="Aptos"/>
          <w:color w:val="17212B"/>
          <w:sz w:val="20"/>
        </w:rPr>
        <w:t>Inspect AGENTS.md if present and follow it. Inspect git status and preserve unrelated user changes.</w:t>
      </w:r>
    </w:p>
    <w:p>
      <w:pPr>
        <w:pStyle w:val="ListBullet"/>
      </w:pPr>
      <w:r>
        <w:rPr>
          <w:rFonts w:ascii="Aptos" w:hAnsi="Aptos"/>
          <w:color w:val="17212B"/>
          <w:sz w:val="20"/>
        </w:rPr>
        <w:t>Read addons/health_crm/__manifest__.py, its CRM Center OWL components/views and the caller/client/booking flows.</w:t>
      </w:r>
    </w:p>
    <w:p>
      <w:pPr>
        <w:pStyle w:val="ListBullet"/>
      </w:pPr>
      <w:r>
        <w:rPr>
          <w:rFonts w:ascii="Aptos" w:hAnsi="Aptos"/>
          <w:color w:val="17212B"/>
          <w:sz w:val="20"/>
        </w:rPr>
        <w:t>Read addons/health_zalo models, controllers, services, bus code and chat components. Confirm the currently supported Zalo API version rather than trusting manifest prose.</w:t>
      </w:r>
    </w:p>
    <w:p>
      <w:pPr>
        <w:pStyle w:val="ListBullet"/>
      </w:pPr>
      <w:r>
        <w:rPr>
          <w:rFonts w:ascii="Aptos" w:hAnsi="Aptos"/>
          <w:color w:val="17212B"/>
          <w:sz w:val="20"/>
        </w:rPr>
        <w:t>Read addons/health_voip24h call models, webhook/event services, recordings, click-to-dial and popup components.</w:t>
      </w:r>
    </w:p>
    <w:p>
      <w:pPr>
        <w:pStyle w:val="ListBullet"/>
      </w:pPr>
      <w:r>
        <w:rPr>
          <w:rFonts w:ascii="Aptos" w:hAnsi="Aptos"/>
          <w:color w:val="17212B"/>
          <w:sz w:val="20"/>
        </w:rPr>
        <w:t>Read addons/health_messaging, health_family_messages, health_consent and health_phi_encryption, including their safety switches and tests.</w:t>
      </w:r>
    </w:p>
    <w:p>
      <w:pPr>
        <w:pStyle w:val="ListBullet"/>
      </w:pPr>
      <w:r>
        <w:rPr>
          <w:rFonts w:ascii="Aptos" w:hAnsi="Aptos"/>
          <w:color w:val="17212B"/>
          <w:sz w:val="20"/>
        </w:rPr>
        <w:t>Document the actual current model names, security groups, menus, endpoints and event flows before designing migrations.</w:t>
      </w:r>
    </w:p>
    <w:p>
      <w:pPr>
        <w:pStyle w:val="Heading2"/>
      </w:pPr>
      <w:r>
        <w:t>SCOPE AND MODULE BOUNDARY</w:t>
      </w:r>
    </w:p>
    <w:p>
      <w:pPr>
        <w:pStyle w:val="ListBullet"/>
      </w:pPr>
      <w:r>
        <w:rPr>
          <w:rFonts w:ascii="Aptos" w:hAnsi="Aptos"/>
          <w:color w:val="17212B"/>
          <w:sz w:val="20"/>
        </w:rPr>
        <w:t>Create a new installable addon addons/health_omnichannel unless repository conventions strongly favour extending an existing addon. Explain any different choice before implementation.</w:t>
      </w:r>
    </w:p>
    <w:p>
      <w:pPr>
        <w:pStyle w:val="ListBullet"/>
      </w:pPr>
      <w:r>
        <w:rPr>
          <w:rFonts w:ascii="Aptos" w:hAnsi="Aptos"/>
          <w:color w:val="17212B"/>
          <w:sz w:val="20"/>
        </w:rPr>
        <w:t>Depend on web, mail, bus, health_base, health_crm, health_zalo, health_voip24h, health_consent and health_phi_encryption. Make health_messaging and health_family_messages optional adapters if dependency cycles would result.</w:t>
      </w:r>
    </w:p>
    <w:p>
      <w:pPr>
        <w:pStyle w:val="ListBullet"/>
      </w:pPr>
      <w:r>
        <w:rPr>
          <w:rFonts w:ascii="Aptos" w:hAnsi="Aptos"/>
          <w:color w:val="17212B"/>
          <w:sz w:val="20"/>
        </w:rPr>
        <w:t>Keep provider-specific records authoritative in phase 1. Add canonical models that reference them; use idempotent adapter services and immutable external IDs.</w:t>
      </w:r>
    </w:p>
    <w:p>
      <w:pPr>
        <w:pStyle w:val="ListBullet"/>
      </w:pPr>
      <w:r>
        <w:rPr>
          <w:rFonts w:ascii="Aptos" w:hAnsi="Aptos"/>
          <w:color w:val="17212B"/>
          <w:sz w:val="20"/>
        </w:rPr>
        <w:t>Add CRM Center &gt; Care Command directly after Dashboard. The menu/action must be limited to the existing healthcare CRM user/manager groups, with a separate supervisor capability for managers.</w:t>
      </w:r>
    </w:p>
    <w:p>
      <w:pPr>
        <w:pStyle w:val="ListBullet"/>
      </w:pPr>
      <w:r>
        <w:rPr>
          <w:rFonts w:ascii="Aptos" w:hAnsi="Aptos"/>
          <w:color w:val="17212B"/>
          <w:sz w:val="20"/>
        </w:rPr>
        <w:t>Do not modify vendor/core Odoo files. Use inheritance, registries, services, patches only where required, and local assets.</w:t>
      </w:r>
    </w:p>
    <w:p>
      <w:pPr>
        <w:pStyle w:val="Heading2"/>
      </w:pPr>
      <w:r>
        <w:t>TARGET USER EXPERIENCE</w:t>
      </w:r>
    </w:p>
    <w:p>
      <w:pPr>
        <w:pStyle w:val="ListBullet"/>
      </w:pPr>
      <w:r>
        <w:rPr>
          <w:rFonts w:ascii="Aptos" w:hAnsi="Aptos"/>
          <w:color w:val="17212B"/>
          <w:sz w:val="20"/>
        </w:rPr>
        <w:t>Implement an OWL client action with responsive desktop-first layout and four adaptive zones: command rail, queue list, interaction canvas and care context rail.</w:t>
      </w:r>
    </w:p>
    <w:p>
      <w:pPr>
        <w:pStyle w:val="ListBullet"/>
      </w:pPr>
      <w:r>
        <w:rPr>
          <w:rFonts w:ascii="Aptos" w:hAnsi="Aptos"/>
          <w:color w:val="17212B"/>
          <w:sz w:val="20"/>
        </w:rPr>
        <w:t>Command rail: My Work, Unassigned, Calls, Messages, Callbacks, Follow-ups, Risk/Escalations, Supervisor (manager only), Channel Health (manager/admin only). Show counts and oldest/SLA state, not decorative badges.</w:t>
      </w:r>
    </w:p>
    <w:p>
      <w:pPr>
        <w:pStyle w:val="ListBullet"/>
      </w:pPr>
      <w:r>
        <w:rPr>
          <w:rFonts w:ascii="Aptos" w:hAnsi="Aptos"/>
          <w:color w:val="17212B"/>
          <w:sz w:val="20"/>
        </w:rPr>
        <w:t>Queue list: each row shows one semantic priority, patient or unknown caller, representative relationship, reason/intent, channel, SLA countdown, owner and last interaction preview. Provide fast search, saved views and keyboard navigation.</w:t>
      </w:r>
    </w:p>
    <w:p>
      <w:pPr>
        <w:pStyle w:val="ListBullet"/>
      </w:pPr>
      <w:r>
        <w:rPr>
          <w:rFonts w:ascii="Aptos" w:hAnsi="Aptos"/>
          <w:color w:val="17212B"/>
          <w:sz w:val="20"/>
        </w:rPr>
        <w:t>Interaction canvas: one chronological timeline mixing Zalo messages, voice calls, recordings/transcripts, delivery events, internal notes, assignments, bookings, commitments and escalation events. Preserve provider/source badges and deep links.</w:t>
      </w:r>
    </w:p>
    <w:p>
      <w:pPr>
        <w:pStyle w:val="ListBullet"/>
      </w:pPr>
      <w:r>
        <w:rPr>
          <w:rFonts w:ascii="Aptos" w:hAnsi="Aptos"/>
          <w:color w:val="17212B"/>
          <w:sz w:val="20"/>
        </w:rPr>
        <w:t>Composer: Reply, internal note and call modes. Show channel/account, consent, supported content, messaging-window/template constraint and recipient identity. Prevent invalid sends before submission. Include bilingual draft assistance only when AI is enabled and approved.</w:t>
      </w:r>
    </w:p>
    <w:p>
      <w:pPr>
        <w:pStyle w:val="ListBullet"/>
      </w:pPr>
      <w:r>
        <w:rPr>
          <w:rFonts w:ascii="Aptos" w:hAnsi="Aptos"/>
          <w:color w:val="17212B"/>
          <w:sz w:val="20"/>
        </w:rPr>
        <w:t>Care context rail: Continuity Brief first; then caller/patient relationship, identity verification, active booking, service/area, consent, safety/escalation, commitments and contact history. Cards are collapsible and pinnable. Never expose unnecessary clinical data.</w:t>
      </w:r>
    </w:p>
    <w:p>
      <w:pPr>
        <w:pStyle w:val="ListBullet"/>
      </w:pPr>
      <w:r>
        <w:rPr>
          <w:rFonts w:ascii="Aptos" w:hAnsi="Aptos"/>
          <w:color w:val="17212B"/>
          <w:sz w:val="20"/>
        </w:rPr>
        <w:t>Voice calm mode: when a call is active, reduce unrelated chrome, enlarge call controls/transcript/checklist and pause non-urgent notifications.</w:t>
      </w:r>
    </w:p>
    <w:p>
      <w:pPr>
        <w:pStyle w:val="ListBullet"/>
      </w:pPr>
      <w:r>
        <w:rPr>
          <w:rFonts w:ascii="Aptos" w:hAnsi="Aptos"/>
          <w:color w:val="17212B"/>
          <w:sz w:val="20"/>
        </w:rPr>
        <w:t>Provide a command palette and shortcuts: J/K queue navigation; A assign; C call; R reply; N note; B book; E escalate; W wrap up. Do not override browser/accessibility shortcuts.</w:t>
      </w:r>
    </w:p>
    <w:p>
      <w:pPr>
        <w:pStyle w:val="Heading2"/>
      </w:pPr>
      <w:r>
        <w:t>VISUAL DESIGN SYSTEM</w:t>
      </w:r>
    </w:p>
    <w:p>
      <w:pPr>
        <w:pStyle w:val="ListBullet"/>
      </w:pPr>
      <w:r>
        <w:rPr>
          <w:rFonts w:ascii="Aptos" w:hAnsi="Aptos"/>
          <w:color w:val="17212B"/>
          <w:sz w:val="20"/>
        </w:rPr>
        <w:t>Use Health19 theme tokens where available. If missing, introduce CSS custom properties scoped to .o_health_care_command.</w:t>
      </w:r>
    </w:p>
    <w:p>
      <w:pPr>
        <w:pStyle w:val="ListBullet"/>
      </w:pPr>
      <w:r>
        <w:rPr>
          <w:rFonts w:ascii="Aptos" w:hAnsi="Aptos"/>
          <w:color w:val="17212B"/>
          <w:sz w:val="20"/>
        </w:rPr>
        <w:t>Design for calm clinical operations: warm white/very light blue-gray canvas; navy ink; teal action accent; amber caution; red only for safety/overdue states; no gradients, glassmorphism, neon, emoji buttons or excessive pills.</w:t>
      </w:r>
    </w:p>
    <w:p>
      <w:pPr>
        <w:pStyle w:val="ListBullet"/>
      </w:pPr>
      <w:r>
        <w:rPr>
          <w:rFonts w:ascii="Aptos" w:hAnsi="Aptos"/>
          <w:color w:val="17212B"/>
          <w:sz w:val="20"/>
        </w:rPr>
        <w:t>Use an 8 px spacing system, minimum 44 px interactive targets, strong focus outlines, WCAG AA contrast, text+icon status encoding and reduced-motion support.</w:t>
      </w:r>
    </w:p>
    <w:p>
      <w:pPr>
        <w:pStyle w:val="ListBullet"/>
      </w:pPr>
      <w:r>
        <w:rPr>
          <w:rFonts w:ascii="Aptos" w:hAnsi="Aptos"/>
          <w:color w:val="17212B"/>
          <w:sz w:val="20"/>
        </w:rPr>
        <w:t>Optimise information density through hierarchy and progressive disclosure, not tiny text. Default body &gt;=14 px equivalent; queue metadata &gt;=12 px; critical timers &gt;=13 px and never colour-only.</w:t>
      </w:r>
    </w:p>
    <w:p>
      <w:pPr>
        <w:pStyle w:val="ListBullet"/>
      </w:pPr>
      <w:r>
        <w:rPr>
          <w:rFonts w:ascii="Aptos" w:hAnsi="Aptos"/>
          <w:color w:val="17212B"/>
          <w:sz w:val="20"/>
        </w:rPr>
        <w:t>Make loading, empty, offline, permission-denied, provider-degraded and stale-AI states explicit and useful.</w:t>
      </w:r>
    </w:p>
    <w:p>
      <w:pPr>
        <w:pStyle w:val="Heading2"/>
      </w:pPr>
      <w:r>
        <w:t>CANONICAL DATA MODEL</w:t>
      </w:r>
    </w:p>
    <w:p>
      <w:pPr>
        <w:pStyle w:val="ListBullet"/>
      </w:pPr>
      <w:r>
        <w:rPr>
          <w:rFonts w:ascii="Aptos" w:hAnsi="Aptos"/>
          <w:color w:val="17212B"/>
          <w:sz w:val="20"/>
        </w:rPr>
        <w:t>Implement health.channel.account: company, provider, channel_type, external_account_id, active, health/status timestamps and safe credential/config reference.</w:t>
      </w:r>
    </w:p>
    <w:p>
      <w:pPr>
        <w:pStyle w:val="ListBullet"/>
      </w:pPr>
      <w:r>
        <w:rPr>
          <w:rFonts w:ascii="Aptos" w:hAnsi="Aptos"/>
          <w:color w:val="17212B"/>
          <w:sz w:val="20"/>
        </w:rPr>
        <w:t>Implement health.channel.identity: account, external_id, identifier_type, normalised value, partner_id, patient/client link if applicable, verification state, confidence, provenance, valid dates and unique constraints.</w:t>
      </w:r>
    </w:p>
    <w:p>
      <w:pPr>
        <w:pStyle w:val="ListBullet"/>
      </w:pPr>
      <w:r>
        <w:rPr>
          <w:rFonts w:ascii="Aptos" w:hAnsi="Aptos"/>
          <w:color w:val="17212B"/>
          <w:sz w:val="20"/>
        </w:rPr>
        <w:t>Implement health.conversation: company, subject, caller partner, patient/client, relationship type, state, priority, queue, assignee, SLA timestamps, active channel, last interaction and canonical external key.</w:t>
      </w:r>
    </w:p>
    <w:p>
      <w:pPr>
        <w:pStyle w:val="ListBullet"/>
      </w:pPr>
      <w:r>
        <w:rPr>
          <w:rFonts w:ascii="Aptos" w:hAnsi="Aptos"/>
          <w:color w:val="17212B"/>
          <w:sz w:val="20"/>
        </w:rPr>
        <w:t>Implement health.interaction as append-oriented: conversation, source model/res_id, source external ID, channel/account, kind, direction, actor, occurred_at, delivery state, redacted preview, encrypted payload/content reference, attachments and event metadata. Restrict write/delete after ingestion to system workflows.</w:t>
      </w:r>
    </w:p>
    <w:p>
      <w:pPr>
        <w:pStyle w:val="ListBullet"/>
      </w:pPr>
      <w:r>
        <w:rPr>
          <w:rFonts w:ascii="Aptos" w:hAnsi="Aptos"/>
          <w:color w:val="17212B"/>
          <w:sz w:val="20"/>
        </w:rPr>
        <w:t>Implement routing queue/rule/version, agent presence/capacity/skill, interaction brief, commitment, escalation and AI audit models described in the product brief. Reuse existing models when they already meet the requirement; do not create duplicates for naming convenience.</w:t>
      </w:r>
    </w:p>
    <w:p>
      <w:pPr>
        <w:pStyle w:val="ListBullet"/>
      </w:pPr>
      <w:r>
        <w:rPr>
          <w:rFonts w:ascii="Aptos" w:hAnsi="Aptos"/>
          <w:color w:val="17212B"/>
          <w:sz w:val="20"/>
        </w:rPr>
        <w:t>Add SQL and Python constraints for company isolation, provider idempotency and coherent caller/patient relationship state.</w:t>
      </w:r>
    </w:p>
    <w:p>
      <w:pPr>
        <w:pStyle w:val="Heading2"/>
      </w:pPr>
      <w:r>
        <w:t>IDENTITY AND RELATIONSHIP RESOLUTION</w:t>
      </w:r>
    </w:p>
    <w:p>
      <w:pPr>
        <w:pStyle w:val="ListBullet"/>
      </w:pPr>
      <w:r>
        <w:rPr>
          <w:rFonts w:ascii="Aptos" w:hAnsi="Aptos"/>
          <w:color w:val="17212B"/>
          <w:sz w:val="20"/>
        </w:rPr>
        <w:t>Never treat a phone number as a unique patient. Model shared numbers, representatives and households.</w:t>
      </w:r>
    </w:p>
    <w:p>
      <w:pPr>
        <w:pStyle w:val="ListBullet"/>
      </w:pPr>
      <w:r>
        <w:rPr>
          <w:rFonts w:ascii="Aptos" w:hAnsi="Aptos"/>
          <w:color w:val="17212B"/>
          <w:sz w:val="20"/>
        </w:rPr>
        <w:t>Normalise Vietnam phone numbers, email addresses and provider IDs. Preserve raw values and provenance.</w:t>
      </w:r>
    </w:p>
    <w:p>
      <w:pPr>
        <w:pStyle w:val="ListBullet"/>
      </w:pPr>
      <w:r>
        <w:rPr>
          <w:rFonts w:ascii="Aptos" w:hAnsi="Aptos"/>
          <w:color w:val="17212B"/>
          <w:sz w:val="20"/>
        </w:rPr>
        <w:t>Match in layers: verified canonical ID; provider external ID; exact normalised phone/email; existing relationship; name/address/date signals. Return candidates with reasons and conflicts.</w:t>
      </w:r>
    </w:p>
    <w:p>
      <w:pPr>
        <w:pStyle w:val="ListBullet"/>
      </w:pPr>
      <w:r>
        <w:rPr>
          <w:rFonts w:ascii="Aptos" w:hAnsi="Aptos"/>
          <w:color w:val="17212B"/>
          <w:sz w:val="20"/>
        </w:rPr>
        <w:t>Auto-link only high-confidence, non-conflicting identities allowed by policy. Otherwise show a comparison drawer with Link, Create New, Keep Separate and Merge (privileged) actions.</w:t>
      </w:r>
    </w:p>
    <w:p>
      <w:pPr>
        <w:pStyle w:val="ListBullet"/>
      </w:pPr>
      <w:r>
        <w:rPr>
          <w:rFonts w:ascii="Aptos" w:hAnsi="Aptos"/>
          <w:color w:val="17212B"/>
          <w:sz w:val="20"/>
        </w:rPr>
        <w:t>A merge must display changed fields, affected conversations/bookings/relationships, require a reason, create an audit event and support an administrator recovery path. Prefer linking identities over destructive merging.</w:t>
      </w:r>
    </w:p>
    <w:p>
      <w:pPr>
        <w:pStyle w:val="Heading2"/>
      </w:pPr>
      <w:r>
        <w:t>ROUTING AND PRESENCE</w:t>
      </w:r>
    </w:p>
    <w:p>
      <w:pPr>
        <w:pStyle w:val="ListBullet"/>
      </w:pPr>
      <w:r>
        <w:rPr>
          <w:rFonts w:ascii="Aptos" w:hAnsi="Aptos"/>
          <w:color w:val="17212B"/>
          <w:sz w:val="20"/>
        </w:rPr>
        <w:t>Implement constraint-first routing in this order: safety/legal eligibility; channel eligibility; relationship continuity; skill/location; urgency/SLA; capacity/focus; fairness tie-break.</w:t>
      </w:r>
    </w:p>
    <w:p>
      <w:pPr>
        <w:pStyle w:val="ListBullet"/>
      </w:pPr>
      <w:r>
        <w:rPr>
          <w:rFonts w:ascii="Aptos" w:hAnsi="Aptos"/>
          <w:color w:val="17212B"/>
          <w:sz w:val="20"/>
        </w:rPr>
        <w:t>Voice uses full real-time capacity by default. Messaging and asynchronous work use configurable weights. An active voice call suppresses new real-time work unless a manager-approved policy says otherwise.</w:t>
      </w:r>
    </w:p>
    <w:p>
      <w:pPr>
        <w:pStyle w:val="ListBullet"/>
      </w:pPr>
      <w:r>
        <w:rPr>
          <w:rFonts w:ascii="Aptos" w:hAnsi="Aptos"/>
          <w:color w:val="17212B"/>
          <w:sz w:val="20"/>
        </w:rPr>
        <w:t>Support direct, preferred-owner, longest-idle, round-robin, least-loaded and skill-based tie-breakers, plus overflow and after-hours policies.</w:t>
      </w:r>
    </w:p>
    <w:p>
      <w:pPr>
        <w:pStyle w:val="ListBullet"/>
      </w:pPr>
      <w:r>
        <w:rPr>
          <w:rFonts w:ascii="Aptos" w:hAnsi="Aptos"/>
          <w:color w:val="17212B"/>
          <w:sz w:val="20"/>
        </w:rPr>
        <w:t>Every assignment records policy version, evaluated facts, excluded agents and the final reason. Expose “Why routed here?” to authorised users.</w:t>
      </w:r>
    </w:p>
    <w:p>
      <w:pPr>
        <w:pStyle w:val="ListBullet"/>
      </w:pPr>
      <w:r>
        <w:rPr>
          <w:rFonts w:ascii="Aptos" w:hAnsi="Aptos"/>
          <w:color w:val="17212B"/>
          <w:sz w:val="20"/>
        </w:rPr>
        <w:t>Build a routing policy studio with draft/publish, validation, simulation on synthetic/historical facts, conflict/dead-end detection, version comparison and rollback. Do not expose raw Python domains to ordinary managers.</w:t>
      </w:r>
    </w:p>
    <w:p>
      <w:pPr>
        <w:pStyle w:val="Heading2"/>
      </w:pPr>
      <w:r>
        <w:t>AI CONTINUITY BRIEF AND ASSISTANCE</w:t>
      </w:r>
    </w:p>
    <w:p>
      <w:pPr>
        <w:pStyle w:val="ListBullet"/>
      </w:pPr>
      <w:r>
        <w:rPr>
          <w:rFonts w:ascii="Aptos" w:hAnsi="Aptos"/>
          <w:color w:val="17212B"/>
          <w:sz w:val="20"/>
        </w:rPr>
        <w:t>Build the Continuity Brief as a structured record and UI, not unstructured HTML. Required fields: speaker/patient/relationship; reason now and change; recent care state; booking; safety signals; escalation; consent; commitments; recommended action; uncertainty; source interaction IDs; generated_at; model/prompt version; verified_by/at.</w:t>
      </w:r>
    </w:p>
    <w:p>
      <w:pPr>
        <w:pStyle w:val="ListBullet"/>
      </w:pPr>
      <w:r>
        <w:rPr>
          <w:rFonts w:ascii="Aptos" w:hAnsi="Aptos"/>
          <w:color w:val="17212B"/>
          <w:sz w:val="20"/>
        </w:rPr>
        <w:t>Generate asynchronously after material events and on demand. Show stale/generating/error states without blocking the conversation.</w:t>
      </w:r>
    </w:p>
    <w:p>
      <w:pPr>
        <w:pStyle w:val="ListBullet"/>
      </w:pPr>
      <w:r>
        <w:rPr>
          <w:rFonts w:ascii="Aptos" w:hAnsi="Aptos"/>
          <w:color w:val="17212B"/>
          <w:sz w:val="20"/>
        </w:rPr>
        <w:t>All factual claims in the brief must map to source interactions or canonical records. The UI opens the cited source event. Unsupported fields remain Unknown; never infer demographic or clinical facts.</w:t>
      </w:r>
    </w:p>
    <w:p>
      <w:pPr>
        <w:pStyle w:val="ListBullet"/>
      </w:pPr>
      <w:r>
        <w:rPr>
          <w:rFonts w:ascii="Aptos" w:hAnsi="Aptos"/>
          <w:color w:val="17212B"/>
          <w:sz w:val="20"/>
        </w:rPr>
        <w:t>Implement human review for wrap-up, disposition, new commitments, CRM updates and outbound drafts. Show a diff before applying structured changes.</w:t>
      </w:r>
    </w:p>
    <w:p>
      <w:pPr>
        <w:pStyle w:val="ListBullet"/>
      </w:pPr>
      <w:r>
        <w:rPr>
          <w:rFonts w:ascii="Aptos" w:hAnsi="Aptos"/>
          <w:color w:val="17212B"/>
          <w:sz w:val="20"/>
        </w:rPr>
        <w:t>Implement policy-grounded bilingual Vietnamese/English drafting, tone/readability controls, approved knowledge retrieval and source display.</w:t>
      </w:r>
    </w:p>
    <w:p>
      <w:pPr>
        <w:pStyle w:val="ListBullet"/>
      </w:pPr>
      <w:r>
        <w:rPr>
          <w:rFonts w:ascii="Aptos" w:hAnsi="Aptos"/>
          <w:color w:val="17212B"/>
          <w:sz w:val="20"/>
        </w:rPr>
        <w:t>Implement a deterministic Safety Shield: configurable approved phrase/pattern triggers may open a non-clinical escalation checklist. AI must not diagnose, score clinical severity, recommend treatment or dispatch emergency care. Display the organisation’s approved emergency wording and human escalation path.</w:t>
      </w:r>
    </w:p>
    <w:p>
      <w:pPr>
        <w:pStyle w:val="ListBullet"/>
      </w:pPr>
      <w:r>
        <w:rPr>
          <w:rFonts w:ascii="Aptos" w:hAnsi="Aptos"/>
          <w:color w:val="17212B"/>
          <w:sz w:val="20"/>
        </w:rPr>
        <w:t>Implement AI audit records containing redacted input references, sources, output, actions proposed/taken, user edits, approval/override, model and prompt versions. Never log secrets or unnecessary PHI.</w:t>
      </w:r>
    </w:p>
    <w:p>
      <w:pPr>
        <w:pStyle w:val="ListBullet"/>
      </w:pPr>
      <w:r>
        <w:rPr>
          <w:rFonts w:ascii="Aptos" w:hAnsi="Aptos"/>
          <w:color w:val="17212B"/>
          <w:sz w:val="20"/>
        </w:rPr>
        <w:t>If no approved model/service configuration exists, ship AI features disabled with deterministic mock/provider interfaces for tests. The core workspace must work fully without AI.</w:t>
      </w:r>
    </w:p>
    <w:p>
      <w:pPr>
        <w:pStyle w:val="Heading2"/>
      </w:pPr>
      <w:r>
        <w:t>CHANNEL ADAPTERS</w:t>
      </w:r>
    </w:p>
    <w:p>
      <w:pPr>
        <w:pStyle w:val="ListBullet"/>
      </w:pPr>
      <w:r>
        <w:rPr>
          <w:rFonts w:ascii="Aptos" w:hAnsi="Aptos"/>
          <w:color w:val="17212B"/>
          <w:sz w:val="20"/>
        </w:rPr>
        <w:t>Zalo: ingest existing zalo.conversation/zalo.message events into canonical records idempotently; maintain OA-scoped UID identity; expose delivery/window/template rules; use the existing API/token manager; publish state through Odoo bus.</w:t>
      </w:r>
    </w:p>
    <w:p>
      <w:pPr>
        <w:pStyle w:val="ListBullet"/>
      </w:pPr>
      <w:r>
        <w:rPr>
          <w:rFonts w:ascii="Aptos" w:hAnsi="Aptos"/>
          <w:color w:val="17212B"/>
          <w:sz w:val="20"/>
        </w:rPr>
        <w:t>VoIP24h: map CDR lifecycle, caller/called numbers, extensions, recording, match confidence, call outcome and activities. Preserve current popups/click-to-dial while adding Care Command call controls and live event updates.</w:t>
      </w:r>
    </w:p>
    <w:p>
      <w:pPr>
        <w:pStyle w:val="ListBullet"/>
      </w:pPr>
      <w:r>
        <w:rPr>
          <w:rFonts w:ascii="Aptos" w:hAnsi="Aptos"/>
          <w:color w:val="17212B"/>
          <w:sz w:val="20"/>
        </w:rPr>
        <w:t>Use an adapter registry/interface so email, web chat, WhatsApp/social or a future Genesys/NICE/Talkdesk/Twilio provider can be added without changing the workspace domain model.</w:t>
      </w:r>
    </w:p>
    <w:p>
      <w:pPr>
        <w:pStyle w:val="ListBullet"/>
      </w:pPr>
      <w:r>
        <w:rPr>
          <w:rFonts w:ascii="Aptos" w:hAnsi="Aptos"/>
          <w:color w:val="17212B"/>
          <w:sz w:val="20"/>
        </w:rPr>
        <w:t>Outbound operations use a transactional outbox/job model with idempotency key, retry policy, terminal failure, manual retry and channel-health reporting.</w:t>
      </w:r>
    </w:p>
    <w:p>
      <w:pPr>
        <w:pStyle w:val="Heading2"/>
      </w:pPr>
      <w:r>
        <w:t>SUPERVISOR EXPERIENCE</w:t>
      </w:r>
    </w:p>
    <w:p>
      <w:pPr>
        <w:pStyle w:val="ListBullet"/>
      </w:pPr>
      <w:r>
        <w:rPr>
          <w:rFonts w:ascii="Aptos" w:hAnsi="Aptos"/>
          <w:color w:val="17212B"/>
          <w:sz w:val="20"/>
        </w:rPr>
        <w:t>Manager-only live dashboard: queue volume, oldest wait, SLA at risk, capacity, active calls/messages, callbacks, after-contact work and channel health.</w:t>
      </w:r>
    </w:p>
    <w:p>
      <w:pPr>
        <w:pStyle w:val="ListBullet"/>
      </w:pPr>
      <w:r>
        <w:rPr>
          <w:rFonts w:ascii="Aptos" w:hAnsi="Aptos"/>
          <w:color w:val="17212B"/>
          <w:sz w:val="20"/>
        </w:rPr>
        <w:t>Risk queue: unacknowledged escalations, repeated contacts, worsening-language trigger, identity conflict, missed commitment and booking within 24 hours without resolution.</w:t>
      </w:r>
    </w:p>
    <w:p>
      <w:pPr>
        <w:pStyle w:val="ListBullet"/>
      </w:pPr>
      <w:r>
        <w:rPr>
          <w:rFonts w:ascii="Aptos" w:hAnsi="Aptos"/>
          <w:color w:val="17212B"/>
          <w:sz w:val="20"/>
        </w:rPr>
        <w:t>Allow reassign, rebalance, open overflow, join/coach where lawful, and inspect routing explanation. Every intervention is audited.</w:t>
      </w:r>
    </w:p>
    <w:p>
      <w:pPr>
        <w:pStyle w:val="ListBullet"/>
      </w:pPr>
      <w:r>
        <w:rPr>
          <w:rFonts w:ascii="Aptos" w:hAnsi="Aptos"/>
          <w:color w:val="17212B"/>
          <w:sz w:val="20"/>
        </w:rPr>
        <w:t>AI governance: volume, acceptance/edit/override rates, source coverage, unsupported-output flags, capability kill switches and sampled review workflow. Do not create opaque employee rankings or emotion scoring.</w:t>
      </w:r>
    </w:p>
    <w:p>
      <w:pPr>
        <w:pStyle w:val="Heading2"/>
      </w:pPr>
      <w:r>
        <w:t>SECURITY, PRIVACY AND SAFETY</w:t>
      </w:r>
    </w:p>
    <w:p>
      <w:pPr>
        <w:pStyle w:val="ListBullet"/>
      </w:pPr>
      <w:r>
        <w:rPr>
          <w:rFonts w:ascii="Aptos" w:hAnsi="Aptos"/>
          <w:color w:val="17212B"/>
          <w:sz w:val="20"/>
        </w:rPr>
        <w:t>Apply Odoo record rules and field groups for company, clinic/facility, role and minimum necessary access. Add tests proving cross-company and role isolation.</w:t>
      </w:r>
    </w:p>
    <w:p>
      <w:pPr>
        <w:pStyle w:val="ListBullet"/>
      </w:pPr>
      <w:r>
        <w:rPr>
          <w:rFonts w:ascii="Aptos" w:hAnsi="Aptos"/>
          <w:color w:val="17212B"/>
          <w:sz w:val="20"/>
        </w:rPr>
        <w:t>Use health_phi_encryption patterns for interaction content, transcript, AI artefacts and sensitive notes. Avoid searchable plaintext copies of PHI.</w:t>
      </w:r>
    </w:p>
    <w:p>
      <w:pPr>
        <w:pStyle w:val="ListBullet"/>
      </w:pPr>
      <w:r>
        <w:rPr>
          <w:rFonts w:ascii="Aptos" w:hAnsi="Aptos"/>
          <w:color w:val="17212B"/>
          <w:sz w:val="20"/>
        </w:rPr>
        <w:t>Gate message send, recording, transcription, AI processing, export and representative disclosure through health_consent or an explicit policy service. Record the decision and policy version.</w:t>
      </w:r>
    </w:p>
    <w:p>
      <w:pPr>
        <w:pStyle w:val="ListBullet"/>
      </w:pPr>
      <w:r>
        <w:rPr>
          <w:rFonts w:ascii="Aptos" w:hAnsi="Aptos"/>
          <w:color w:val="17212B"/>
          <w:sz w:val="20"/>
        </w:rPr>
        <w:t>Sanitise attachments, validate MIME/size, use access-controlled download routes and never expose provider URLs or tokens directly.</w:t>
      </w:r>
    </w:p>
    <w:p>
      <w:pPr>
        <w:pStyle w:val="ListBullet"/>
      </w:pPr>
      <w:r>
        <w:rPr>
          <w:rFonts w:ascii="Aptos" w:hAnsi="Aptos"/>
          <w:color w:val="17212B"/>
          <w:sz w:val="20"/>
        </w:rPr>
        <w:t>Add immutable audit events for access to sensitive interaction detail, identity link/merge, consent override, AI use, outbound send, recording playback/download and supervisor intervention.</w:t>
      </w:r>
    </w:p>
    <w:p>
      <w:pPr>
        <w:pStyle w:val="ListBullet"/>
      </w:pPr>
      <w:r>
        <w:rPr>
          <w:rFonts w:ascii="Aptos" w:hAnsi="Aptos"/>
          <w:color w:val="17212B"/>
          <w:sz w:val="20"/>
        </w:rPr>
        <w:t>Add configurable retention and legal-hold hooks. Do not implement silent hard deletes of interaction history.</w:t>
      </w:r>
    </w:p>
    <w:p>
      <w:pPr>
        <w:pStyle w:val="Heading2"/>
      </w:pPr>
      <w:r>
        <w:t>PERFORMANCE AND RESILIENCE</w:t>
      </w:r>
    </w:p>
    <w:p>
      <w:pPr>
        <w:pStyle w:val="ListBullet"/>
      </w:pPr>
      <w:r>
        <w:rPr>
          <w:rFonts w:ascii="Aptos" w:hAnsi="Aptos"/>
          <w:color w:val="17212B"/>
          <w:sz w:val="20"/>
        </w:rPr>
        <w:t>Paginate/virtualise large queues and timelines. Do not load full recordings, transcripts or message bodies until requested.</w:t>
      </w:r>
    </w:p>
    <w:p>
      <w:pPr>
        <w:pStyle w:val="ListBullet"/>
      </w:pPr>
      <w:r>
        <w:rPr>
          <w:rFonts w:ascii="Aptos" w:hAnsi="Aptos"/>
          <w:color w:val="17212B"/>
          <w:sz w:val="20"/>
        </w:rPr>
        <w:t>Index company/state/queue/assignee/priority/SLA/last_interaction and provider external IDs. Measure representative query plans.</w:t>
      </w:r>
    </w:p>
    <w:p>
      <w:pPr>
        <w:pStyle w:val="ListBullet"/>
      </w:pPr>
      <w:r>
        <w:rPr>
          <w:rFonts w:ascii="Aptos" w:hAnsi="Aptos"/>
          <w:color w:val="17212B"/>
          <w:sz w:val="20"/>
        </w:rPr>
        <w:t>Use optimistic UI only for reversible low-risk actions; show confirmed provider delivery state for sends.</w:t>
      </w:r>
    </w:p>
    <w:p>
      <w:pPr>
        <w:pStyle w:val="ListBullet"/>
      </w:pPr>
      <w:r>
        <w:rPr>
          <w:rFonts w:ascii="Aptos" w:hAnsi="Aptos"/>
          <w:color w:val="17212B"/>
          <w:sz w:val="20"/>
        </w:rPr>
        <w:t>Handle duplicate/out-of-order webhooks, bus reconnect, provider outage, expired Zalo token, telephony degradation and AI timeout. Provide reconciliation jobs and admin diagnostics.</w:t>
      </w:r>
    </w:p>
    <w:p>
      <w:pPr>
        <w:pStyle w:val="Heading2"/>
      </w:pPr>
      <w:r>
        <w:t>TESTS AND ACCEPTANCE</w:t>
      </w:r>
    </w:p>
    <w:p>
      <w:pPr>
        <w:pStyle w:val="ListBullet"/>
      </w:pPr>
      <w:r>
        <w:rPr>
          <w:rFonts w:ascii="Aptos" w:hAnsi="Aptos"/>
          <w:color w:val="17212B"/>
          <w:sz w:val="20"/>
        </w:rPr>
        <w:t>Write unit tests for identifier normalisation, idempotent adapter ingestion, relationship candidates, routing eligibility/scoring, SLA timers, consent gates, encryption, outbox retries and AI-source validation.</w:t>
      </w:r>
    </w:p>
    <w:p>
      <w:pPr>
        <w:pStyle w:val="ListBullet"/>
      </w:pPr>
      <w:r>
        <w:rPr>
          <w:rFonts w:ascii="Aptos" w:hAnsi="Aptos"/>
          <w:color w:val="17212B"/>
          <w:sz w:val="20"/>
        </w:rPr>
        <w:t>Write security tests for agent vs manager vs system admin, cross-company isolation, recording/transcript access and privileged merge.</w:t>
      </w:r>
    </w:p>
    <w:p>
      <w:pPr>
        <w:pStyle w:val="ListBullet"/>
      </w:pPr>
      <w:r>
        <w:rPr>
          <w:rFonts w:ascii="Aptos" w:hAnsi="Aptos"/>
          <w:color w:val="17212B"/>
          <w:sz w:val="20"/>
        </w:rPr>
        <w:t>Write OWL/QUnit tests for queue loading, keyboard navigation, interaction selection, live bus updates, stale brief, consent-blocked send, identity conflict and active-call calm mode.</w:t>
      </w:r>
    </w:p>
    <w:p>
      <w:pPr>
        <w:pStyle w:val="ListBullet"/>
      </w:pPr>
      <w:r>
        <w:rPr>
          <w:rFonts w:ascii="Aptos" w:hAnsi="Aptos"/>
          <w:color w:val="17212B"/>
          <w:sz w:val="20"/>
        </w:rPr>
        <w:t>Create end-to-end tours for: new unknown inbound call; returning caregiver calling for an existing patient; Zalo message that worsens a prior symptom statement; missed call callback; duplicate shared phone; booking creation from conversation; after-hours routing; manager intervention; provider outage; AI disabled.</w:t>
      </w:r>
    </w:p>
    <w:p>
      <w:pPr>
        <w:pStyle w:val="ListBullet"/>
      </w:pPr>
      <w:r>
        <w:rPr>
          <w:rFonts w:ascii="Aptos" w:hAnsi="Aptos"/>
          <w:color w:val="17212B"/>
          <w:sz w:val="20"/>
        </w:rPr>
        <w:t>Accessibility acceptance: keyboard-only completion of core workflow, visible focus, semantic labels, screen-reader status announcements, AA contrast and reduced motion.</w:t>
      </w:r>
    </w:p>
    <w:p>
      <w:pPr>
        <w:pStyle w:val="ListBullet"/>
      </w:pPr>
      <w:r>
        <w:rPr>
          <w:rFonts w:ascii="Aptos" w:hAnsi="Aptos"/>
          <w:color w:val="17212B"/>
          <w:sz w:val="20"/>
        </w:rPr>
        <w:t>Performance acceptance on a documented representative dataset: workspace shell interactive within 2 seconds on a normal office connection; queue change feedback within 300 ms after cached data; selected conversation first useful content within 1 second excluding provider media; no unbounded ORM reads.</w:t>
      </w:r>
    </w:p>
    <w:p>
      <w:pPr>
        <w:pStyle w:val="Heading2"/>
      </w:pPr>
      <w:r>
        <w:t>IMPLEMENTATION SEQUENCE</w:t>
      </w:r>
    </w:p>
    <w:p>
      <w:pPr>
        <w:pStyle w:val="ListBullet"/>
      </w:pPr>
      <w:r>
        <w:rPr>
          <w:rFonts w:ascii="Aptos" w:hAnsi="Aptos"/>
          <w:color w:val="17212B"/>
          <w:sz w:val="20"/>
        </w:rPr>
        <w:t>1. Produce a concise repository findings note and model/flow map. Do not code until existing models and extension points are confirmed.</w:t>
      </w:r>
    </w:p>
    <w:p>
      <w:pPr>
        <w:pStyle w:val="ListBullet"/>
      </w:pPr>
      <w:r>
        <w:rPr>
          <w:rFonts w:ascii="Aptos" w:hAnsi="Aptos"/>
          <w:color w:val="17212B"/>
          <w:sz w:val="20"/>
        </w:rPr>
        <w:t>2. Scaffold the addon, permissions, menu/action and empty OWL shell behind a feature flag.</w:t>
      </w:r>
    </w:p>
    <w:p>
      <w:pPr>
        <w:pStyle w:val="ListBullet"/>
      </w:pPr>
      <w:r>
        <w:rPr>
          <w:rFonts w:ascii="Aptos" w:hAnsi="Aptos"/>
          <w:color w:val="17212B"/>
          <w:sz w:val="20"/>
        </w:rPr>
        <w:t>3. Implement canonical read models and idempotent Zalo/VoIP adapters with migrations/reconciliation.</w:t>
      </w:r>
    </w:p>
    <w:p>
      <w:pPr>
        <w:pStyle w:val="ListBullet"/>
      </w:pPr>
      <w:r>
        <w:rPr>
          <w:rFonts w:ascii="Aptos" w:hAnsi="Aptos"/>
          <w:color w:val="17212B"/>
          <w:sz w:val="20"/>
        </w:rPr>
        <w:t>4. Build unified read-only workspace and relationship/identity rail; verify performance and permissions.</w:t>
      </w:r>
    </w:p>
    <w:p>
      <w:pPr>
        <w:pStyle w:val="ListBullet"/>
      </w:pPr>
      <w:r>
        <w:rPr>
          <w:rFonts w:ascii="Aptos" w:hAnsi="Aptos"/>
          <w:color w:val="17212B"/>
          <w:sz w:val="20"/>
        </w:rPr>
        <w:t>5. Add assignment, presence, SLA, routing explanation, composer/dial actions and durable outbox.</w:t>
      </w:r>
    </w:p>
    <w:p>
      <w:pPr>
        <w:pStyle w:val="ListBullet"/>
      </w:pPr>
      <w:r>
        <w:rPr>
          <w:rFonts w:ascii="Aptos" w:hAnsi="Aptos"/>
          <w:color w:val="17212B"/>
          <w:sz w:val="20"/>
        </w:rPr>
        <w:t>6. Add Continuity Brief provider interface, deterministic fake, approved provider integration only if configuration exists, source trace and review flows.</w:t>
      </w:r>
    </w:p>
    <w:p>
      <w:pPr>
        <w:pStyle w:val="ListBullet"/>
      </w:pPr>
      <w:r>
        <w:rPr>
          <w:rFonts w:ascii="Aptos" w:hAnsi="Aptos"/>
          <w:color w:val="17212B"/>
          <w:sz w:val="20"/>
        </w:rPr>
        <w:t>7. Add supervisor cockpit, routing studio and AI governance.</w:t>
      </w:r>
    </w:p>
    <w:p>
      <w:pPr>
        <w:pStyle w:val="ListBullet"/>
      </w:pPr>
      <w:r>
        <w:rPr>
          <w:rFonts w:ascii="Aptos" w:hAnsi="Aptos"/>
          <w:color w:val="17212B"/>
          <w:sz w:val="20"/>
        </w:rPr>
        <w:t>8. Run targeted tests, full addon tests, lint/assets checks and browser tours. Fix failures; do not hide them.</w:t>
      </w:r>
    </w:p>
    <w:p>
      <w:pPr>
        <w:pStyle w:val="Heading2"/>
      </w:pPr>
      <w:r>
        <w:t>DELIVERABLES</w:t>
      </w:r>
    </w:p>
    <w:p>
      <w:pPr>
        <w:pStyle w:val="ListBullet"/>
      </w:pPr>
      <w:r>
        <w:rPr>
          <w:rFonts w:ascii="Aptos" w:hAnsi="Aptos"/>
          <w:color w:val="17212B"/>
          <w:sz w:val="20"/>
        </w:rPr>
        <w:t>Code and migrations within scoped addons; no unrelated formatting or rewrites.</w:t>
      </w:r>
    </w:p>
    <w:p>
      <w:pPr>
        <w:pStyle w:val="ListBullet"/>
      </w:pPr>
      <w:r>
        <w:rPr>
          <w:rFonts w:ascii="Aptos" w:hAnsi="Aptos"/>
          <w:color w:val="17212B"/>
          <w:sz w:val="20"/>
        </w:rPr>
        <w:t>Architecture note with data flow, trust boundaries, provider adapters, routing explanation and AI boundary.</w:t>
      </w:r>
    </w:p>
    <w:p>
      <w:pPr>
        <w:pStyle w:val="ListBullet"/>
      </w:pPr>
      <w:r>
        <w:rPr>
          <w:rFonts w:ascii="Aptos" w:hAnsi="Aptos"/>
          <w:color w:val="17212B"/>
          <w:sz w:val="20"/>
        </w:rPr>
        <w:t>Administrator guide for queues, presence, channels, consent, recording, retention, AI and emergency wording.</w:t>
      </w:r>
    </w:p>
    <w:p>
      <w:pPr>
        <w:pStyle w:val="ListBullet"/>
      </w:pPr>
      <w:r>
        <w:rPr>
          <w:rFonts w:ascii="Aptos" w:hAnsi="Aptos"/>
          <w:color w:val="17212B"/>
          <w:sz w:val="20"/>
        </w:rPr>
        <w:t>Agent and manager quick-start guide with keyboard shortcuts and failure states.</w:t>
      </w:r>
    </w:p>
    <w:p>
      <w:pPr>
        <w:pStyle w:val="ListBullet"/>
      </w:pPr>
      <w:r>
        <w:rPr>
          <w:rFonts w:ascii="Aptos" w:hAnsi="Aptos"/>
          <w:color w:val="17212B"/>
          <w:sz w:val="20"/>
        </w:rPr>
        <w:t>Test evidence, screenshots of the implemented desktop states and a list of deferred decisions/risks.</w:t>
      </w:r>
    </w:p>
    <w:p>
      <w:pPr>
        <w:pStyle w:val="Heading2"/>
      </w:pPr>
      <w:r>
        <w:t>STOP CONDITIONS / REQUIRED HUMAN DECISIONS</w:t>
      </w:r>
    </w:p>
    <w:p>
      <w:pPr>
        <w:pStyle w:val="ListBullet"/>
      </w:pPr>
      <w:r>
        <w:rPr>
          <w:rFonts w:ascii="Aptos" w:hAnsi="Aptos"/>
          <w:color w:val="17212B"/>
          <w:sz w:val="20"/>
        </w:rPr>
        <w:t>Stop and request direction before enabling any real outbound channel, recording, transcription or AI provider; before changing clinical escalation wording; before destructive identity migration; before storing new categories of PHI; or if the requested behaviour conflicts with existing consent/security constraints.</w:t>
      </w:r>
    </w:p>
    <w:p>
      <w:pPr>
        <w:pStyle w:val="ListBullet"/>
      </w:pPr>
      <w:r>
        <w:rPr>
          <w:rFonts w:ascii="Aptos" w:hAnsi="Aptos"/>
          <w:color w:val="17212B"/>
          <w:sz w:val="20"/>
        </w:rPr>
        <w:t>Do not claim regulatory compliance. Implement controls and document the exact configuration requiring legal, security and clinical approval.</w:t>
      </w:r>
    </w:p>
    <w:p>
      <w:pPr>
        <w:pStyle w:val="Heading1"/>
      </w:pPr>
      <w:r>
        <w:t>12. Definition of “wow” for this product</w:t>
      </w:r>
    </w:p>
    <w:p>
      <w:r>
        <w:rPr>
          <w:rFonts w:ascii="Aptos" w:hAnsi="Aptos"/>
          <w:color w:val="17212B"/>
        </w:rPr>
        <w:t>“Wow” is not animation or novelty. It is the feeling that the system has quietly assembled the right context, protected attention, prevented a dangerous mistake and made the next safe action obvious. The following measures make that testable:</w:t>
      </w:r>
    </w:p>
    <w:tbl>
      <w:tblPr>
        <w:tblW w:type="dxa" w:w="9360"/>
        <w:jc w:val="center"/>
        <w:tblLayout w:type="fixed"/>
        <w:tblLook w:firstColumn="1" w:firstRow="1" w:lastColumn="0" w:lastRow="0" w:noHBand="0" w:noVBand="1" w:val="04A0"/>
        <w:tblBorders>
          <w:top w:val="single" w:sz="4" w:space="0" w:color="D9E2E8"/>
          <w:left w:val="single" w:sz="4" w:space="0" w:color="D9E2E8"/>
          <w:bottom w:val="single" w:sz="4" w:space="0" w:color="D9E2E8"/>
          <w:right w:val="single" w:sz="4" w:space="0" w:color="D9E2E8"/>
          <w:insideH w:val="single" w:sz="4" w:space="0" w:color="D9E2E8"/>
          <w:insideV w:val="single" w:sz="4" w:space="0" w:color="D9E2E8"/>
        </w:tblBorders>
      </w:tblPr>
      <w:tblGrid>
        <w:gridCol w:w="1800"/>
        <w:gridCol w:w="5112"/>
        <w:gridCol w:w="2448"/>
      </w:tblGrid>
      <w:tr>
        <w:trPr>
          <w:tblHeader w:val="true"/>
          <w:cantSplit/>
        </w:trPr>
        <w:tc>
          <w:tcPr>
            <w:tcW w:type="dxa" w:w="1800"/>
            <w:shd w:fill="0E8A7B"/>
            <w:vAlign w:val="center"/>
            <w:tcMar>
              <w:top w:w="90" w:type="dxa"/>
              <w:start w:w="120" w:type="dxa"/>
              <w:bottom w:w="90" w:type="dxa"/>
              <w:end w:w="120" w:type="dxa"/>
            </w:tcMar>
          </w:tcPr>
          <w:p>
            <w:pPr>
              <w:spacing w:after="0"/>
              <w:jc w:val="left"/>
            </w:pPr>
            <w:r>
              <w:rPr>
                <w:rFonts w:ascii="Aptos" w:hAnsi="Aptos"/>
                <w:b/>
                <w:color w:val="FFFFFF"/>
                <w:sz w:val="17"/>
              </w:rPr>
              <w:t>Moment</w:t>
            </w:r>
          </w:p>
        </w:tc>
        <w:tc>
          <w:tcPr>
            <w:tcW w:type="dxa" w:w="5112"/>
            <w:shd w:fill="0E8A7B"/>
            <w:vAlign w:val="center"/>
            <w:tcMar>
              <w:top w:w="90" w:type="dxa"/>
              <w:start w:w="120" w:type="dxa"/>
              <w:bottom w:w="90" w:type="dxa"/>
              <w:end w:w="120" w:type="dxa"/>
            </w:tcMar>
          </w:tcPr>
          <w:p>
            <w:pPr>
              <w:spacing w:after="0"/>
              <w:jc w:val="left"/>
            </w:pPr>
            <w:r>
              <w:rPr>
                <w:rFonts w:ascii="Aptos" w:hAnsi="Aptos"/>
                <w:b/>
                <w:color w:val="FFFFFF"/>
                <w:sz w:val="17"/>
              </w:rPr>
              <w:t>Target experience</w:t>
            </w:r>
          </w:p>
        </w:tc>
        <w:tc>
          <w:tcPr>
            <w:tcW w:type="dxa" w:w="2448"/>
            <w:shd w:fill="0E8A7B"/>
            <w:vAlign w:val="center"/>
            <w:tcMar>
              <w:top w:w="90" w:type="dxa"/>
              <w:start w:w="120" w:type="dxa"/>
              <w:bottom w:w="90" w:type="dxa"/>
              <w:end w:w="120" w:type="dxa"/>
            </w:tcMar>
          </w:tcPr>
          <w:p>
            <w:pPr>
              <w:spacing w:after="0"/>
              <w:jc w:val="left"/>
            </w:pPr>
            <w:r>
              <w:rPr>
                <w:rFonts w:ascii="Aptos" w:hAnsi="Aptos"/>
                <w:b/>
                <w:color w:val="FFFFFF"/>
                <w:sz w:val="17"/>
              </w:rPr>
              <w:t>Measure</w:t>
            </w:r>
          </w:p>
        </w:tc>
      </w:tr>
      <w:tr>
        <w:trPr>
          <w:cantSplit/>
        </w:trPr>
        <w:tc>
          <w:tcPr>
            <w:tcW w:type="dxa" w:w="1800"/>
            <w:vAlign w:val="center"/>
            <w:tcMar>
              <w:top w:w="90" w:type="dxa"/>
              <w:start w:w="120" w:type="dxa"/>
              <w:bottom w:w="90" w:type="dxa"/>
              <w:end w:w="120" w:type="dxa"/>
            </w:tcMar>
          </w:tcPr>
          <w:p>
            <w:pPr>
              <w:spacing w:after="0" w:line="245" w:lineRule="auto"/>
            </w:pPr>
            <w:r>
              <w:rPr>
                <w:rFonts w:ascii="Aptos" w:hAnsi="Aptos"/>
                <w:b/>
                <w:color w:val="17212B"/>
                <w:sz w:val="17"/>
              </w:rPr>
              <w:t>Open conversation</w:t>
            </w:r>
          </w:p>
        </w:tc>
        <w:tc>
          <w:tcPr>
            <w:tcW w:type="dxa" w:w="5112"/>
            <w:vAlign w:val="center"/>
            <w:tcMar>
              <w:top w:w="90" w:type="dxa"/>
              <w:start w:w="120" w:type="dxa"/>
              <w:bottom w:w="90" w:type="dxa"/>
              <w:end w:w="120" w:type="dxa"/>
            </w:tcMar>
          </w:tcPr>
          <w:p>
            <w:pPr>
              <w:spacing w:after="0" w:line="245" w:lineRule="auto"/>
            </w:pPr>
            <w:r>
              <w:rPr>
                <w:rFonts w:ascii="Aptos" w:hAnsi="Aptos"/>
                <w:b w:val="0"/>
                <w:color w:val="17212B"/>
                <w:sz w:val="17"/>
              </w:rPr>
              <w:t>Five-second accurate continuity understanding</w:t>
            </w:r>
          </w:p>
        </w:tc>
        <w:tc>
          <w:tcPr>
            <w:tcW w:type="dxa" w:w="2448"/>
            <w:vAlign w:val="center"/>
            <w:tcMar>
              <w:top w:w="90" w:type="dxa"/>
              <w:start w:w="120" w:type="dxa"/>
              <w:bottom w:w="90" w:type="dxa"/>
              <w:end w:w="120" w:type="dxa"/>
            </w:tcMar>
          </w:tcPr>
          <w:p>
            <w:pPr>
              <w:spacing w:after="0" w:line="245" w:lineRule="auto"/>
            </w:pPr>
            <w:r>
              <w:rPr>
                <w:rFonts w:ascii="Aptos" w:hAnsi="Aptos"/>
                <w:b w:val="0"/>
                <w:color w:val="17212B"/>
                <w:sz w:val="17"/>
              </w:rPr>
              <w:t>Agent can answer 7 context questions without scrolling</w:t>
            </w:r>
          </w:p>
        </w:tc>
      </w:tr>
      <w:tr>
        <w:trPr>
          <w:cantSplit/>
        </w:trPr>
        <w:tc>
          <w:tcPr>
            <w:tcW w:type="dxa" w:w="1800"/>
            <w:vAlign w:val="center"/>
            <w:shd w:fill="F8FAFB"/>
            <w:tcMar>
              <w:top w:w="90" w:type="dxa"/>
              <w:start w:w="120" w:type="dxa"/>
              <w:bottom w:w="90" w:type="dxa"/>
              <w:end w:w="120" w:type="dxa"/>
            </w:tcMar>
          </w:tcPr>
          <w:p>
            <w:pPr>
              <w:spacing w:after="0" w:line="245" w:lineRule="auto"/>
            </w:pPr>
            <w:r>
              <w:rPr>
                <w:rFonts w:ascii="Aptos" w:hAnsi="Aptos"/>
                <w:b/>
                <w:color w:val="17212B"/>
                <w:sz w:val="17"/>
              </w:rPr>
              <w:t>Incoming call</w:t>
            </w:r>
          </w:p>
        </w:tc>
        <w:tc>
          <w:tcPr>
            <w:tcW w:type="dxa" w:w="5112"/>
            <w:vAlign w:val="center"/>
            <w:shd w:fill="F8FAFB"/>
            <w:tcMar>
              <w:top w:w="90" w:type="dxa"/>
              <w:start w:w="120" w:type="dxa"/>
              <w:bottom w:w="90" w:type="dxa"/>
              <w:end w:w="120" w:type="dxa"/>
            </w:tcMar>
          </w:tcPr>
          <w:p>
            <w:pPr>
              <w:spacing w:after="0" w:line="245" w:lineRule="auto"/>
            </w:pPr>
            <w:r>
              <w:rPr>
                <w:rFonts w:ascii="Aptos" w:hAnsi="Aptos"/>
                <w:b w:val="0"/>
                <w:color w:val="17212B"/>
                <w:sz w:val="17"/>
              </w:rPr>
              <w:t>Caller and patient relationship visible before answer when known</w:t>
            </w:r>
          </w:p>
        </w:tc>
        <w:tc>
          <w:tcPr>
            <w:tcW w:type="dxa" w:w="2448"/>
            <w:vAlign w:val="center"/>
            <w:shd w:fill="F8FAFB"/>
            <w:tcMar>
              <w:top w:w="90" w:type="dxa"/>
              <w:start w:w="120" w:type="dxa"/>
              <w:bottom w:w="90" w:type="dxa"/>
              <w:end w:w="120" w:type="dxa"/>
            </w:tcMar>
          </w:tcPr>
          <w:p>
            <w:pPr>
              <w:spacing w:after="0" w:line="245" w:lineRule="auto"/>
            </w:pPr>
            <w:r>
              <w:rPr>
                <w:rFonts w:ascii="Aptos" w:hAnsi="Aptos"/>
                <w:b w:val="0"/>
                <w:color w:val="17212B"/>
                <w:sz w:val="17"/>
              </w:rPr>
              <w:t>Context card ready before or within 1 s of accept</w:t>
            </w:r>
          </w:p>
        </w:tc>
      </w:tr>
      <w:tr>
        <w:trPr>
          <w:cantSplit/>
        </w:trPr>
        <w:tc>
          <w:tcPr>
            <w:tcW w:type="dxa" w:w="1800"/>
            <w:vAlign w:val="center"/>
            <w:tcMar>
              <w:top w:w="90" w:type="dxa"/>
              <w:start w:w="120" w:type="dxa"/>
              <w:bottom w:w="90" w:type="dxa"/>
              <w:end w:w="120" w:type="dxa"/>
            </w:tcMar>
          </w:tcPr>
          <w:p>
            <w:pPr>
              <w:spacing w:after="0" w:line="245" w:lineRule="auto"/>
            </w:pPr>
            <w:r>
              <w:rPr>
                <w:rFonts w:ascii="Aptos" w:hAnsi="Aptos"/>
                <w:b/>
                <w:color w:val="17212B"/>
                <w:sz w:val="17"/>
              </w:rPr>
              <w:t>Identity conflict</w:t>
            </w:r>
          </w:p>
        </w:tc>
        <w:tc>
          <w:tcPr>
            <w:tcW w:type="dxa" w:w="5112"/>
            <w:vAlign w:val="center"/>
            <w:tcMar>
              <w:top w:w="90" w:type="dxa"/>
              <w:start w:w="120" w:type="dxa"/>
              <w:bottom w:w="90" w:type="dxa"/>
              <w:end w:w="120" w:type="dxa"/>
            </w:tcMar>
          </w:tcPr>
          <w:p>
            <w:pPr>
              <w:spacing w:after="0" w:line="245" w:lineRule="auto"/>
            </w:pPr>
            <w:r>
              <w:rPr>
                <w:rFonts w:ascii="Aptos" w:hAnsi="Aptos"/>
                <w:b w:val="0"/>
                <w:color w:val="17212B"/>
                <w:sz w:val="17"/>
              </w:rPr>
              <w:t>No silent wrong-patient match</w:t>
            </w:r>
          </w:p>
        </w:tc>
        <w:tc>
          <w:tcPr>
            <w:tcW w:type="dxa" w:w="2448"/>
            <w:vAlign w:val="center"/>
            <w:tcMar>
              <w:top w:w="90" w:type="dxa"/>
              <w:start w:w="120" w:type="dxa"/>
              <w:bottom w:w="90" w:type="dxa"/>
              <w:end w:w="120" w:type="dxa"/>
            </w:tcMar>
          </w:tcPr>
          <w:p>
            <w:pPr>
              <w:spacing w:after="0" w:line="245" w:lineRule="auto"/>
            </w:pPr>
            <w:r>
              <w:rPr>
                <w:rFonts w:ascii="Aptos" w:hAnsi="Aptos"/>
                <w:b w:val="0"/>
                <w:color w:val="17212B"/>
                <w:sz w:val="17"/>
              </w:rPr>
              <w:t>100% conflicts require explicit resolution</w:t>
            </w:r>
          </w:p>
        </w:tc>
      </w:tr>
      <w:tr>
        <w:trPr>
          <w:cantSplit/>
        </w:trPr>
        <w:tc>
          <w:tcPr>
            <w:tcW w:type="dxa" w:w="1800"/>
            <w:vAlign w:val="center"/>
            <w:shd w:fill="F8FAFB"/>
            <w:tcMar>
              <w:top w:w="90" w:type="dxa"/>
              <w:start w:w="120" w:type="dxa"/>
              <w:bottom w:w="90" w:type="dxa"/>
              <w:end w:w="120" w:type="dxa"/>
            </w:tcMar>
          </w:tcPr>
          <w:p>
            <w:pPr>
              <w:spacing w:after="0" w:line="245" w:lineRule="auto"/>
            </w:pPr>
            <w:r>
              <w:rPr>
                <w:rFonts w:ascii="Aptos" w:hAnsi="Aptos"/>
                <w:b/>
                <w:color w:val="17212B"/>
                <w:sz w:val="17"/>
              </w:rPr>
              <w:t>Compose/send</w:t>
            </w:r>
          </w:p>
        </w:tc>
        <w:tc>
          <w:tcPr>
            <w:tcW w:type="dxa" w:w="5112"/>
            <w:vAlign w:val="center"/>
            <w:shd w:fill="F8FAFB"/>
            <w:tcMar>
              <w:top w:w="90" w:type="dxa"/>
              <w:start w:w="120" w:type="dxa"/>
              <w:bottom w:w="90" w:type="dxa"/>
              <w:end w:w="120" w:type="dxa"/>
            </w:tcMar>
          </w:tcPr>
          <w:p>
            <w:pPr>
              <w:spacing w:after="0" w:line="245" w:lineRule="auto"/>
            </w:pPr>
            <w:r>
              <w:rPr>
                <w:rFonts w:ascii="Aptos" w:hAnsi="Aptos"/>
                <w:b w:val="0"/>
                <w:color w:val="17212B"/>
                <w:sz w:val="17"/>
              </w:rPr>
              <w:t>Channel and consent constraints are obvious</w:t>
            </w:r>
          </w:p>
        </w:tc>
        <w:tc>
          <w:tcPr>
            <w:tcW w:type="dxa" w:w="2448"/>
            <w:vAlign w:val="center"/>
            <w:shd w:fill="F8FAFB"/>
            <w:tcMar>
              <w:top w:w="90" w:type="dxa"/>
              <w:start w:w="120" w:type="dxa"/>
              <w:bottom w:w="90" w:type="dxa"/>
              <w:end w:w="120" w:type="dxa"/>
            </w:tcMar>
          </w:tcPr>
          <w:p>
            <w:pPr>
              <w:spacing w:after="0" w:line="245" w:lineRule="auto"/>
            </w:pPr>
            <w:r>
              <w:rPr>
                <w:rFonts w:ascii="Aptos" w:hAnsi="Aptos"/>
                <w:b w:val="0"/>
                <w:color w:val="17212B"/>
                <w:sz w:val="17"/>
              </w:rPr>
              <w:t>Invalid or unapproved send blocked before provider call</w:t>
            </w:r>
          </w:p>
        </w:tc>
      </w:tr>
      <w:tr>
        <w:trPr>
          <w:cantSplit/>
        </w:trPr>
        <w:tc>
          <w:tcPr>
            <w:tcW w:type="dxa" w:w="1800"/>
            <w:vAlign w:val="center"/>
            <w:tcMar>
              <w:top w:w="90" w:type="dxa"/>
              <w:start w:w="120" w:type="dxa"/>
              <w:bottom w:w="90" w:type="dxa"/>
              <w:end w:w="120" w:type="dxa"/>
            </w:tcMar>
          </w:tcPr>
          <w:p>
            <w:pPr>
              <w:spacing w:after="0" w:line="245" w:lineRule="auto"/>
            </w:pPr>
            <w:r>
              <w:rPr>
                <w:rFonts w:ascii="Aptos" w:hAnsi="Aptos"/>
                <w:b/>
                <w:color w:val="17212B"/>
                <w:sz w:val="17"/>
              </w:rPr>
              <w:t>Wrap up</w:t>
            </w:r>
          </w:p>
        </w:tc>
        <w:tc>
          <w:tcPr>
            <w:tcW w:type="dxa" w:w="5112"/>
            <w:vAlign w:val="center"/>
            <w:tcMar>
              <w:top w:w="90" w:type="dxa"/>
              <w:start w:w="120" w:type="dxa"/>
              <w:bottom w:w="90" w:type="dxa"/>
              <w:end w:w="120" w:type="dxa"/>
            </w:tcMar>
          </w:tcPr>
          <w:p>
            <w:pPr>
              <w:spacing w:after="0" w:line="245" w:lineRule="auto"/>
            </w:pPr>
            <w:r>
              <w:rPr>
                <w:rFonts w:ascii="Aptos" w:hAnsi="Aptos"/>
                <w:b w:val="0"/>
                <w:color w:val="17212B"/>
                <w:sz w:val="17"/>
              </w:rPr>
              <w:t>One review replaces duplicate typing</w:t>
            </w:r>
          </w:p>
        </w:tc>
        <w:tc>
          <w:tcPr>
            <w:tcW w:type="dxa" w:w="2448"/>
            <w:vAlign w:val="center"/>
            <w:tcMar>
              <w:top w:w="90" w:type="dxa"/>
              <w:start w:w="120" w:type="dxa"/>
              <w:bottom w:w="90" w:type="dxa"/>
              <w:end w:w="120" w:type="dxa"/>
            </w:tcMar>
          </w:tcPr>
          <w:p>
            <w:pPr>
              <w:spacing w:after="0" w:line="245" w:lineRule="auto"/>
            </w:pPr>
            <w:r>
              <w:rPr>
                <w:rFonts w:ascii="Aptos" w:hAnsi="Aptos"/>
                <w:b w:val="0"/>
                <w:color w:val="17212B"/>
                <w:sz w:val="17"/>
              </w:rPr>
              <w:t>Disposition, summary, commitments and follow-up confirmed in &lt;30 s</w:t>
            </w:r>
          </w:p>
        </w:tc>
      </w:tr>
      <w:tr>
        <w:trPr>
          <w:cantSplit/>
        </w:trPr>
        <w:tc>
          <w:tcPr>
            <w:tcW w:type="dxa" w:w="1800"/>
            <w:vAlign w:val="center"/>
            <w:shd w:fill="F8FAFB"/>
            <w:tcMar>
              <w:top w:w="90" w:type="dxa"/>
              <w:start w:w="120" w:type="dxa"/>
              <w:bottom w:w="90" w:type="dxa"/>
              <w:end w:w="120" w:type="dxa"/>
            </w:tcMar>
          </w:tcPr>
          <w:p>
            <w:pPr>
              <w:spacing w:after="0" w:line="245" w:lineRule="auto"/>
            </w:pPr>
            <w:r>
              <w:rPr>
                <w:rFonts w:ascii="Aptos" w:hAnsi="Aptos"/>
                <w:b/>
                <w:color w:val="17212B"/>
                <w:sz w:val="17"/>
              </w:rPr>
              <w:t>Supervisor surge</w:t>
            </w:r>
          </w:p>
        </w:tc>
        <w:tc>
          <w:tcPr>
            <w:tcW w:type="dxa" w:w="5112"/>
            <w:vAlign w:val="center"/>
            <w:shd w:fill="F8FAFB"/>
            <w:tcMar>
              <w:top w:w="90" w:type="dxa"/>
              <w:start w:w="120" w:type="dxa"/>
              <w:bottom w:w="90" w:type="dxa"/>
              <w:end w:w="120" w:type="dxa"/>
            </w:tcMar>
          </w:tcPr>
          <w:p>
            <w:pPr>
              <w:spacing w:after="0" w:line="245" w:lineRule="auto"/>
            </w:pPr>
            <w:r>
              <w:rPr>
                <w:rFonts w:ascii="Aptos" w:hAnsi="Aptos"/>
                <w:b w:val="0"/>
                <w:color w:val="17212B"/>
                <w:sz w:val="17"/>
              </w:rPr>
              <w:t>Operational cause and action visible together</w:t>
            </w:r>
          </w:p>
        </w:tc>
        <w:tc>
          <w:tcPr>
            <w:tcW w:type="dxa" w:w="2448"/>
            <w:vAlign w:val="center"/>
            <w:shd w:fill="F8FAFB"/>
            <w:tcMar>
              <w:top w:w="90" w:type="dxa"/>
              <w:start w:w="120" w:type="dxa"/>
              <w:bottom w:w="90" w:type="dxa"/>
              <w:end w:w="120" w:type="dxa"/>
            </w:tcMar>
          </w:tcPr>
          <w:p>
            <w:pPr>
              <w:spacing w:after="0" w:line="245" w:lineRule="auto"/>
            </w:pPr>
            <w:r>
              <w:rPr>
                <w:rFonts w:ascii="Aptos" w:hAnsi="Aptos"/>
                <w:b w:val="0"/>
                <w:color w:val="17212B"/>
                <w:sz w:val="17"/>
              </w:rPr>
              <w:t>Rebalance/overflow action within two clicks</w:t>
            </w:r>
          </w:p>
        </w:tc>
      </w:tr>
      <w:tr>
        <w:trPr>
          <w:cantSplit/>
        </w:trPr>
        <w:tc>
          <w:tcPr>
            <w:tcW w:type="dxa" w:w="1800"/>
            <w:vAlign w:val="center"/>
            <w:tcMar>
              <w:top w:w="90" w:type="dxa"/>
              <w:start w:w="120" w:type="dxa"/>
              <w:bottom w:w="90" w:type="dxa"/>
              <w:end w:w="120" w:type="dxa"/>
            </w:tcMar>
          </w:tcPr>
          <w:p>
            <w:pPr>
              <w:spacing w:after="0" w:line="245" w:lineRule="auto"/>
            </w:pPr>
            <w:r>
              <w:rPr>
                <w:rFonts w:ascii="Aptos" w:hAnsi="Aptos"/>
                <w:b/>
                <w:color w:val="17212B"/>
                <w:sz w:val="17"/>
              </w:rPr>
              <w:t>AI trust</w:t>
            </w:r>
          </w:p>
        </w:tc>
        <w:tc>
          <w:tcPr>
            <w:tcW w:type="dxa" w:w="5112"/>
            <w:vAlign w:val="center"/>
            <w:tcMar>
              <w:top w:w="90" w:type="dxa"/>
              <w:start w:w="120" w:type="dxa"/>
              <w:bottom w:w="90" w:type="dxa"/>
              <w:end w:w="120" w:type="dxa"/>
            </w:tcMar>
          </w:tcPr>
          <w:p>
            <w:pPr>
              <w:spacing w:after="0" w:line="245" w:lineRule="auto"/>
            </w:pPr>
            <w:r>
              <w:rPr>
                <w:rFonts w:ascii="Aptos" w:hAnsi="Aptos"/>
                <w:b w:val="0"/>
                <w:color w:val="17212B"/>
                <w:sz w:val="17"/>
              </w:rPr>
              <w:t>Every material claim can be inspected</w:t>
            </w:r>
          </w:p>
        </w:tc>
        <w:tc>
          <w:tcPr>
            <w:tcW w:type="dxa" w:w="2448"/>
            <w:vAlign w:val="center"/>
            <w:tcMar>
              <w:top w:w="90" w:type="dxa"/>
              <w:start w:w="120" w:type="dxa"/>
              <w:bottom w:w="90" w:type="dxa"/>
              <w:end w:w="120" w:type="dxa"/>
            </w:tcMar>
          </w:tcPr>
          <w:p>
            <w:pPr>
              <w:spacing w:after="0" w:line="245" w:lineRule="auto"/>
            </w:pPr>
            <w:r>
              <w:rPr>
                <w:rFonts w:ascii="Aptos" w:hAnsi="Aptos"/>
                <w:b w:val="0"/>
                <w:color w:val="17212B"/>
                <w:sz w:val="17"/>
              </w:rPr>
              <w:t>Source coverage shown; unsupported fields remain Unknown</w:t>
            </w:r>
          </w:p>
        </w:tc>
      </w:tr>
    </w:tbl>
    <w:p>
      <w:pPr>
        <w:spacing w:after="20"/>
      </w:pPr>
    </w:p>
    <w:p>
      <w:pPr>
        <w:pStyle w:val="Heading1"/>
      </w:pPr>
      <w:r>
        <w:t>Appendix A. Sources</w:t>
      </w:r>
    </w:p>
    <w:p>
      <w:r>
        <w:rPr>
          <w:rFonts w:ascii="Aptos" w:hAnsi="Aptos"/>
          <w:color w:val="17212B"/>
        </w:rPr>
        <w:t>All competitor capabilities are cited to official vendor documentation or official product pages. Sources were accessed 19 July 2026. Public pages may describe add-ons, previews, EAP/beta features or plan-specific capabilities; validate exact entitlement and region.</w:t>
      </w:r>
    </w:p>
    <w:p>
      <w:pPr>
        <w:spacing w:after="50"/>
        <w:ind w:left="259" w:hanging="259"/>
      </w:pPr>
      <w:r>
        <w:rPr>
          <w:rFonts w:ascii="Aptos" w:hAnsi="Aptos"/>
          <w:b/>
          <w:color w:val="0B2545"/>
          <w:sz w:val="18"/>
        </w:rPr>
        <w:t xml:space="preserve">[S01] </w:t>
      </w:r>
      <w:hyperlink r:id="rId17">
        <w:r>
          <w:rPr>
            <w:color w:val="0B6E99"/>
            <w:u w:val="single"/>
            <w:rFonts w:ascii="Aptos" w:hAnsi="Aptos"/>
            <w:sz w:val="18"/>
          </w:rPr>
          <w:t>Pancake — omnichannel business messaging platform</w:t>
        </w:r>
      </w:hyperlink>
    </w:p>
    <w:p>
      <w:pPr>
        <w:spacing w:after="50"/>
        <w:ind w:left="259" w:hanging="259"/>
      </w:pPr>
      <w:r>
        <w:rPr>
          <w:rFonts w:ascii="Aptos" w:hAnsi="Aptos"/>
          <w:b/>
          <w:color w:val="0B2545"/>
          <w:sz w:val="18"/>
        </w:rPr>
        <w:t xml:space="preserve">[S02] </w:t>
      </w:r>
      <w:hyperlink r:id="rId18">
        <w:r>
          <w:rPr>
            <w:color w:val="0B6E99"/>
            <w:u w:val="single"/>
            <w:rFonts w:ascii="Aptos" w:hAnsi="Aptos"/>
            <w:sz w:val="18"/>
          </w:rPr>
          <w:t>Pancake CRM — omnichannel lead/customer management including Zalo sync</w:t>
        </w:r>
      </w:hyperlink>
    </w:p>
    <w:p>
      <w:pPr>
        <w:spacing w:after="50"/>
        <w:ind w:left="259" w:hanging="259"/>
      </w:pPr>
      <w:r>
        <w:rPr>
          <w:rFonts w:ascii="Aptos" w:hAnsi="Aptos"/>
          <w:b/>
          <w:color w:val="0B2545"/>
          <w:sz w:val="18"/>
        </w:rPr>
        <w:t xml:space="preserve">[S03] </w:t>
      </w:r>
      <w:hyperlink r:id="rId19">
        <w:r>
          <w:rPr>
            <w:color w:val="0B6E99"/>
            <w:u w:val="single"/>
            <w:rFonts w:ascii="Aptos" w:hAnsi="Aptos"/>
            <w:sz w:val="18"/>
          </w:rPr>
          <w:t>Pancake POS — telesales, call recording and call scheduling</w:t>
        </w:r>
      </w:hyperlink>
    </w:p>
    <w:p>
      <w:pPr>
        <w:spacing w:after="50"/>
        <w:ind w:left="259" w:hanging="259"/>
      </w:pPr>
      <w:r>
        <w:rPr>
          <w:rFonts w:ascii="Aptos" w:hAnsi="Aptos"/>
          <w:b/>
          <w:color w:val="0B2545"/>
          <w:sz w:val="18"/>
        </w:rPr>
        <w:t xml:space="preserve">[S04] </w:t>
      </w:r>
      <w:hyperlink r:id="rId20">
        <w:r>
          <w:rPr>
            <w:color w:val="0B6E99"/>
            <w:u w:val="single"/>
            <w:rFonts w:ascii="Aptos" w:hAnsi="Aptos"/>
            <w:sz w:val="18"/>
          </w:rPr>
          <w:t>Intercom — AI-powered omnichannel inbox</w:t>
        </w:r>
      </w:hyperlink>
    </w:p>
    <w:p>
      <w:pPr>
        <w:spacing w:after="50"/>
        <w:ind w:left="259" w:hanging="259"/>
      </w:pPr>
      <w:r>
        <w:rPr>
          <w:rFonts w:ascii="Aptos" w:hAnsi="Aptos"/>
          <w:b/>
          <w:color w:val="0B2545"/>
          <w:sz w:val="18"/>
        </w:rPr>
        <w:t xml:space="preserve">[S05] </w:t>
      </w:r>
      <w:hyperlink r:id="rId21">
        <w:r>
          <w:rPr>
            <w:color w:val="0B6E99"/>
            <w:u w:val="single"/>
            <w:rFonts w:ascii="Aptos" w:hAnsi="Aptos"/>
            <w:sz w:val="18"/>
          </w:rPr>
          <w:t>Intercom — take calls from the Inbox</w:t>
        </w:r>
      </w:hyperlink>
    </w:p>
    <w:p>
      <w:pPr>
        <w:spacing w:after="50"/>
        <w:ind w:left="259" w:hanging="259"/>
      </w:pPr>
      <w:r>
        <w:rPr>
          <w:rFonts w:ascii="Aptos" w:hAnsi="Aptos"/>
          <w:b/>
          <w:color w:val="0B2545"/>
          <w:sz w:val="18"/>
        </w:rPr>
        <w:t xml:space="preserve">[S06] </w:t>
      </w:r>
      <w:hyperlink r:id="rId22">
        <w:r>
          <w:rPr>
            <w:color w:val="0B6E99"/>
            <w:u w:val="single"/>
            <w:rFonts w:ascii="Aptos" w:hAnsi="Aptos"/>
            <w:sz w:val="18"/>
          </w:rPr>
          <w:t>Intercom — Inbox AI features: Copilot, compose and summarise</w:t>
        </w:r>
      </w:hyperlink>
    </w:p>
    <w:p>
      <w:pPr>
        <w:spacing w:after="50"/>
        <w:ind w:left="259" w:hanging="259"/>
      </w:pPr>
      <w:r>
        <w:rPr>
          <w:rFonts w:ascii="Aptos" w:hAnsi="Aptos"/>
          <w:b/>
          <w:color w:val="0B2545"/>
          <w:sz w:val="18"/>
        </w:rPr>
        <w:t xml:space="preserve">[S07] </w:t>
      </w:r>
      <w:hyperlink r:id="rId23">
        <w:r>
          <w:rPr>
            <w:color w:val="0B6E99"/>
            <w:u w:val="single"/>
            <w:rFonts w:ascii="Aptos" w:hAnsi="Aptos"/>
            <w:sz w:val="18"/>
          </w:rPr>
          <w:t>Intercom — contact identity and user IDs</w:t>
        </w:r>
      </w:hyperlink>
    </w:p>
    <w:p>
      <w:pPr>
        <w:spacing w:after="50"/>
        <w:ind w:left="259" w:hanging="259"/>
      </w:pPr>
      <w:r>
        <w:rPr>
          <w:rFonts w:ascii="Aptos" w:hAnsi="Aptos"/>
          <w:b/>
          <w:color w:val="0B2545"/>
          <w:sz w:val="18"/>
        </w:rPr>
        <w:t xml:space="preserve">[S08] </w:t>
      </w:r>
      <w:hyperlink r:id="rId24">
        <w:r>
          <w:rPr>
            <w:color w:val="0B6E99"/>
            <w:u w:val="single"/>
            <w:rFonts w:ascii="Aptos" w:hAnsi="Aptos"/>
            <w:sz w:val="18"/>
          </w:rPr>
          <w:t>Intercom — HIPAA attestation and Expert-plan BAA</w:t>
        </w:r>
      </w:hyperlink>
    </w:p>
    <w:p>
      <w:pPr>
        <w:spacing w:after="50"/>
        <w:ind w:left="259" w:hanging="259"/>
      </w:pPr>
      <w:r>
        <w:rPr>
          <w:rFonts w:ascii="Aptos" w:hAnsi="Aptos"/>
          <w:b/>
          <w:color w:val="0B2545"/>
          <w:sz w:val="18"/>
        </w:rPr>
        <w:t xml:space="preserve">[S09] </w:t>
      </w:r>
      <w:hyperlink r:id="rId25">
        <w:r>
          <w:rPr>
            <w:color w:val="0B6E99"/>
            <w:u w:val="single"/>
            <w:rFonts w:ascii="Aptos" w:hAnsi="Aptos"/>
            <w:sz w:val="18"/>
          </w:rPr>
          <w:t>Zendesk — Agent Workspace</w:t>
        </w:r>
      </w:hyperlink>
    </w:p>
    <w:p>
      <w:pPr>
        <w:spacing w:after="50"/>
        <w:ind w:left="259" w:hanging="259"/>
      </w:pPr>
      <w:r>
        <w:rPr>
          <w:rFonts w:ascii="Aptos" w:hAnsi="Aptos"/>
          <w:b/>
          <w:color w:val="0B2545"/>
          <w:sz w:val="18"/>
        </w:rPr>
        <w:t xml:space="preserve">[S10] </w:t>
      </w:r>
      <w:hyperlink r:id="rId26">
        <w:r>
          <w:rPr>
            <w:color w:val="0B6E99"/>
            <w:u w:val="single"/>
            <w:rFonts w:ascii="Aptos" w:hAnsi="Aptos"/>
            <w:sz w:val="18"/>
          </w:rPr>
          <w:t>Zendesk — omnichannel routing</w:t>
        </w:r>
      </w:hyperlink>
    </w:p>
    <w:p>
      <w:pPr>
        <w:spacing w:after="50"/>
        <w:ind w:left="259" w:hanging="259"/>
      </w:pPr>
      <w:r>
        <w:rPr>
          <w:rFonts w:ascii="Aptos" w:hAnsi="Aptos"/>
          <w:b/>
          <w:color w:val="0B2545"/>
          <w:sz w:val="18"/>
        </w:rPr>
        <w:t xml:space="preserve">[S11] </w:t>
      </w:r>
      <w:hyperlink r:id="rId27">
        <w:r>
          <w:rPr>
            <w:color w:val="0B6E99"/>
            <w:u w:val="single"/>
            <w:rFonts w:ascii="Aptos" w:hAnsi="Aptos"/>
            <w:sz w:val="18"/>
          </w:rPr>
          <w:t>Zendesk — routing configuration and focus mode</w:t>
        </w:r>
      </w:hyperlink>
    </w:p>
    <w:p>
      <w:pPr>
        <w:spacing w:after="50"/>
        <w:ind w:left="259" w:hanging="259"/>
      </w:pPr>
      <w:r>
        <w:rPr>
          <w:rFonts w:ascii="Aptos" w:hAnsi="Aptos"/>
          <w:b/>
          <w:color w:val="0B2545"/>
          <w:sz w:val="18"/>
        </w:rPr>
        <w:t xml:space="preserve">[S12] </w:t>
      </w:r>
      <w:hyperlink r:id="rId28">
        <w:r>
          <w:rPr>
            <w:color w:val="0B6E99"/>
            <w:u w:val="single"/>
            <w:rFonts w:ascii="Aptos" w:hAnsi="Aptos"/>
            <w:sz w:val="18"/>
          </w:rPr>
          <w:t>Zendesk — voice AI agent EAP and healthcare limitation</w:t>
        </w:r>
      </w:hyperlink>
    </w:p>
    <w:p>
      <w:pPr>
        <w:spacing w:after="50"/>
        <w:ind w:left="259" w:hanging="259"/>
      </w:pPr>
      <w:r>
        <w:rPr>
          <w:rFonts w:ascii="Aptos" w:hAnsi="Aptos"/>
          <w:b/>
          <w:color w:val="0B2545"/>
          <w:sz w:val="18"/>
        </w:rPr>
        <w:t xml:space="preserve">[S13] </w:t>
      </w:r>
      <w:hyperlink r:id="rId29">
        <w:r>
          <w:rPr>
            <w:color w:val="0B6E99"/>
            <w:u w:val="single"/>
            <w:rFonts w:ascii="Aptos" w:hAnsi="Aptos"/>
            <w:sz w:val="18"/>
          </w:rPr>
          <w:t>Zendesk — HIPAA posture and configuration</w:t>
        </w:r>
      </w:hyperlink>
    </w:p>
    <w:p>
      <w:pPr>
        <w:spacing w:after="50"/>
        <w:ind w:left="259" w:hanging="259"/>
      </w:pPr>
      <w:r>
        <w:rPr>
          <w:rFonts w:ascii="Aptos" w:hAnsi="Aptos"/>
          <w:b/>
          <w:color w:val="0B2545"/>
          <w:sz w:val="18"/>
        </w:rPr>
        <w:t xml:space="preserve">[S14] </w:t>
      </w:r>
      <w:hyperlink r:id="rId30">
        <w:r>
          <w:rPr>
            <w:color w:val="0B6E99"/>
            <w:u w:val="single"/>
            <w:rFonts w:ascii="Aptos" w:hAnsi="Aptos"/>
            <w:sz w:val="18"/>
          </w:rPr>
          <w:t>Salesforce — Agentforce Contact Center</w:t>
        </w:r>
      </w:hyperlink>
    </w:p>
    <w:p>
      <w:pPr>
        <w:spacing w:after="50"/>
        <w:ind w:left="259" w:hanging="259"/>
      </w:pPr>
      <w:r>
        <w:rPr>
          <w:rFonts w:ascii="Aptos" w:hAnsi="Aptos"/>
          <w:b/>
          <w:color w:val="0B2545"/>
          <w:sz w:val="18"/>
        </w:rPr>
        <w:t xml:space="preserve">[S15] </w:t>
      </w:r>
      <w:hyperlink r:id="rId31">
        <w:r>
          <w:rPr>
            <w:color w:val="0B6E99"/>
            <w:u w:val="single"/>
            <w:rFonts w:ascii="Aptos" w:hAnsi="Aptos"/>
            <w:sz w:val="18"/>
          </w:rPr>
          <w:t>Salesforce — Service Cloud / Agentforce Service</w:t>
        </w:r>
      </w:hyperlink>
    </w:p>
    <w:p>
      <w:pPr>
        <w:spacing w:after="50"/>
        <w:ind w:left="259" w:hanging="259"/>
      </w:pPr>
      <w:r>
        <w:rPr>
          <w:rFonts w:ascii="Aptos" w:hAnsi="Aptos"/>
          <w:b/>
          <w:color w:val="0B2545"/>
          <w:sz w:val="18"/>
        </w:rPr>
        <w:t xml:space="preserve">[S16] </w:t>
      </w:r>
      <w:hyperlink r:id="rId32">
        <w:r>
          <w:rPr>
            <w:color w:val="0B6E99"/>
            <w:u w:val="single"/>
            <w:rFonts w:ascii="Aptos" w:hAnsi="Aptos"/>
            <w:sz w:val="18"/>
          </w:rPr>
          <w:t>Salesforce — Omni-Channel unified voice routing</w:t>
        </w:r>
      </w:hyperlink>
    </w:p>
    <w:p>
      <w:pPr>
        <w:spacing w:after="50"/>
        <w:ind w:left="259" w:hanging="259"/>
      </w:pPr>
      <w:r>
        <w:rPr>
          <w:rFonts w:ascii="Aptos" w:hAnsi="Aptos"/>
          <w:b/>
          <w:color w:val="0B2545"/>
          <w:sz w:val="18"/>
        </w:rPr>
        <w:t xml:space="preserve">[S17] </w:t>
      </w:r>
      <w:hyperlink r:id="rId33">
        <w:r>
          <w:rPr>
            <w:color w:val="0B6E99"/>
            <w:u w:val="single"/>
            <w:rFonts w:ascii="Aptos" w:hAnsi="Aptos"/>
            <w:sz w:val="18"/>
          </w:rPr>
          <w:t>Salesforce — route to an Agentforce Service Agent</w:t>
        </w:r>
      </w:hyperlink>
    </w:p>
    <w:p>
      <w:pPr>
        <w:spacing w:after="50"/>
        <w:ind w:left="259" w:hanging="259"/>
      </w:pPr>
      <w:r>
        <w:rPr>
          <w:rFonts w:ascii="Aptos" w:hAnsi="Aptos"/>
          <w:b/>
          <w:color w:val="0B2545"/>
          <w:sz w:val="18"/>
        </w:rPr>
        <w:t xml:space="preserve">[S18] </w:t>
      </w:r>
      <w:hyperlink r:id="rId34">
        <w:r>
          <w:rPr>
            <w:color w:val="0B6E99"/>
            <w:u w:val="single"/>
            <w:rFonts w:ascii="Aptos" w:hAnsi="Aptos"/>
            <w:sz w:val="18"/>
          </w:rPr>
          <w:t>Salesforce — Data 360 identity resolution and unified profiles</w:t>
        </w:r>
      </w:hyperlink>
    </w:p>
    <w:p>
      <w:pPr>
        <w:spacing w:after="50"/>
        <w:ind w:left="259" w:hanging="259"/>
      </w:pPr>
      <w:r>
        <w:rPr>
          <w:rFonts w:ascii="Aptos" w:hAnsi="Aptos"/>
          <w:b/>
          <w:color w:val="0B2545"/>
          <w:sz w:val="18"/>
        </w:rPr>
        <w:t xml:space="preserve">[S19] </w:t>
      </w:r>
      <w:hyperlink r:id="rId35">
        <w:r>
          <w:rPr>
            <w:color w:val="0B6E99"/>
            <w:u w:val="single"/>
            <w:rFonts w:ascii="Aptos" w:hAnsi="Aptos"/>
            <w:sz w:val="18"/>
          </w:rPr>
          <w:t>Salesforce — HIPAA feature restrictions</w:t>
        </w:r>
      </w:hyperlink>
    </w:p>
    <w:p>
      <w:pPr>
        <w:spacing w:after="50"/>
        <w:ind w:left="259" w:hanging="259"/>
      </w:pPr>
      <w:r>
        <w:rPr>
          <w:rFonts w:ascii="Aptos" w:hAnsi="Aptos"/>
          <w:b/>
          <w:color w:val="0B2545"/>
          <w:sz w:val="18"/>
        </w:rPr>
        <w:t xml:space="preserve">[S20] </w:t>
      </w:r>
      <w:hyperlink r:id="rId36">
        <w:r>
          <w:rPr>
            <w:color w:val="0B6E99"/>
            <w:u w:val="single"/>
            <w:rFonts w:ascii="Aptos" w:hAnsi="Aptos"/>
            <w:sz w:val="18"/>
          </w:rPr>
          <w:t>Zoho Desk — omnichannel customer service</w:t>
        </w:r>
      </w:hyperlink>
    </w:p>
    <w:p>
      <w:pPr>
        <w:spacing w:after="50"/>
        <w:ind w:left="259" w:hanging="259"/>
      </w:pPr>
      <w:r>
        <w:rPr>
          <w:rFonts w:ascii="Aptos" w:hAnsi="Aptos"/>
          <w:b/>
          <w:color w:val="0B2545"/>
          <w:sz w:val="18"/>
        </w:rPr>
        <w:t xml:space="preserve">[S21] </w:t>
      </w:r>
      <w:hyperlink r:id="rId37">
        <w:r>
          <w:rPr>
            <w:color w:val="0B6E99"/>
            <w:u w:val="single"/>
            <w:rFonts w:ascii="Aptos" w:hAnsi="Aptos"/>
            <w:sz w:val="18"/>
          </w:rPr>
          <w:t>Zoho Desk — assignment rules: load, sequential and skills</w:t>
        </w:r>
      </w:hyperlink>
    </w:p>
    <w:p>
      <w:pPr>
        <w:spacing w:after="50"/>
        <w:ind w:left="259" w:hanging="259"/>
      </w:pPr>
      <w:r>
        <w:rPr>
          <w:rFonts w:ascii="Aptos" w:hAnsi="Aptos"/>
          <w:b/>
          <w:color w:val="0B2545"/>
          <w:sz w:val="18"/>
        </w:rPr>
        <w:t xml:space="preserve">[S22] </w:t>
      </w:r>
      <w:hyperlink r:id="rId38">
        <w:r>
          <w:rPr>
            <w:color w:val="0B6E99"/>
            <w:u w:val="single"/>
            <w:rFonts w:ascii="Aptos" w:hAnsi="Aptos"/>
            <w:sz w:val="18"/>
          </w:rPr>
          <w:t>Zoho Desk — Zia overview</w:t>
        </w:r>
      </w:hyperlink>
    </w:p>
    <w:p>
      <w:pPr>
        <w:spacing w:after="50"/>
        <w:ind w:left="259" w:hanging="259"/>
      </w:pPr>
      <w:r>
        <w:rPr>
          <w:rFonts w:ascii="Aptos" w:hAnsi="Aptos"/>
          <w:b/>
          <w:color w:val="0B2545"/>
          <w:sz w:val="18"/>
        </w:rPr>
        <w:t xml:space="preserve">[S23] </w:t>
      </w:r>
      <w:hyperlink r:id="rId39">
        <w:r>
          <w:rPr>
            <w:color w:val="0B6E99"/>
            <w:u w:val="single"/>
            <w:rFonts w:ascii="Aptos" w:hAnsi="Aptos"/>
            <w:sz w:val="18"/>
          </w:rPr>
          <w:t>Zoho Desk — HIPAA compliance guide and BAA</w:t>
        </w:r>
      </w:hyperlink>
    </w:p>
    <w:p>
      <w:pPr>
        <w:spacing w:after="50"/>
        <w:ind w:left="259" w:hanging="259"/>
      </w:pPr>
      <w:r>
        <w:rPr>
          <w:rFonts w:ascii="Aptos" w:hAnsi="Aptos"/>
          <w:b/>
          <w:color w:val="0B2545"/>
          <w:sz w:val="18"/>
        </w:rPr>
        <w:t xml:space="preserve">[S24] </w:t>
      </w:r>
      <w:hyperlink r:id="rId40">
        <w:r>
          <w:rPr>
            <w:color w:val="0B6E99"/>
            <w:u w:val="single"/>
            <w:rFonts w:ascii="Aptos" w:hAnsi="Aptos"/>
            <w:sz w:val="18"/>
          </w:rPr>
          <w:t>Freshdesk — Omni 2025 upgrade and unified command centre</w:t>
        </w:r>
      </w:hyperlink>
    </w:p>
    <w:p>
      <w:pPr>
        <w:spacing w:after="50"/>
        <w:ind w:left="259" w:hanging="259"/>
      </w:pPr>
      <w:r>
        <w:rPr>
          <w:rFonts w:ascii="Aptos" w:hAnsi="Aptos"/>
          <w:b/>
          <w:color w:val="0B2545"/>
          <w:sz w:val="18"/>
        </w:rPr>
        <w:t xml:space="preserve">[S25] </w:t>
      </w:r>
      <w:hyperlink r:id="rId41">
        <w:r>
          <w:rPr>
            <w:color w:val="0B6E99"/>
            <w:u w:val="single"/>
            <w:rFonts w:ascii="Aptos" w:hAnsi="Aptos"/>
            <w:sz w:val="18"/>
          </w:rPr>
          <w:t>Freshdesk — Omni capabilities and Freddy AI</w:t>
        </w:r>
      </w:hyperlink>
    </w:p>
    <w:p>
      <w:pPr>
        <w:spacing w:after="50"/>
        <w:ind w:left="259" w:hanging="259"/>
      </w:pPr>
      <w:r>
        <w:rPr>
          <w:rFonts w:ascii="Aptos" w:hAnsi="Aptos"/>
          <w:b/>
          <w:color w:val="0B2545"/>
          <w:sz w:val="18"/>
        </w:rPr>
        <w:t xml:space="preserve">[S26] </w:t>
      </w:r>
      <w:hyperlink r:id="rId42">
        <w:r>
          <w:rPr>
            <w:color w:val="0B6E99"/>
            <w:u w:val="single"/>
            <w:rFonts w:ascii="Aptos" w:hAnsi="Aptos"/>
            <w:sz w:val="18"/>
          </w:rPr>
          <w:t>Freshworks — HIPAA configuration and BAA scope</w:t>
        </w:r>
      </w:hyperlink>
    </w:p>
    <w:p>
      <w:pPr>
        <w:spacing w:after="50"/>
        <w:ind w:left="259" w:hanging="259"/>
      </w:pPr>
      <w:r>
        <w:rPr>
          <w:rFonts w:ascii="Aptos" w:hAnsi="Aptos"/>
          <w:b/>
          <w:color w:val="0B2545"/>
          <w:sz w:val="18"/>
        </w:rPr>
        <w:t xml:space="preserve">[S27] </w:t>
      </w:r>
      <w:hyperlink r:id="rId43">
        <w:r>
          <w:rPr>
            <w:color w:val="0B6E99"/>
            <w:u w:val="single"/>
            <w:rFonts w:ascii="Aptos" w:hAnsi="Aptos"/>
            <w:sz w:val="18"/>
          </w:rPr>
          <w:t>HubSpot — route tickets in Help Desk</w:t>
        </w:r>
      </w:hyperlink>
    </w:p>
    <w:p>
      <w:pPr>
        <w:spacing w:after="50"/>
        <w:ind w:left="259" w:hanging="259"/>
      </w:pPr>
      <w:r>
        <w:rPr>
          <w:rFonts w:ascii="Aptos" w:hAnsi="Aptos"/>
          <w:b/>
          <w:color w:val="0B2545"/>
          <w:sz w:val="18"/>
        </w:rPr>
        <w:t xml:space="preserve">[S28] </w:t>
      </w:r>
      <w:hyperlink r:id="rId44">
        <w:r>
          <w:rPr>
            <w:color w:val="0B6E99"/>
            <w:u w:val="single"/>
            <w:rFonts w:ascii="Aptos" w:hAnsi="Aptos"/>
            <w:sz w:val="18"/>
          </w:rPr>
          <w:t>HubSpot — calling channel in Help Desk</w:t>
        </w:r>
      </w:hyperlink>
    </w:p>
    <w:p>
      <w:pPr>
        <w:spacing w:after="50"/>
        <w:ind w:left="259" w:hanging="259"/>
      </w:pPr>
      <w:r>
        <w:rPr>
          <w:rFonts w:ascii="Aptos" w:hAnsi="Aptos"/>
          <w:b/>
          <w:color w:val="0B2545"/>
          <w:sz w:val="18"/>
        </w:rPr>
        <w:t xml:space="preserve">[S29] </w:t>
      </w:r>
      <w:hyperlink r:id="rId45">
        <w:r>
          <w:rPr>
            <w:color w:val="0B6E99"/>
            <w:u w:val="single"/>
            <w:rFonts w:ascii="Aptos" w:hAnsi="Aptos"/>
            <w:sz w:val="18"/>
          </w:rPr>
          <w:t>HubSpot — Breeze customer agent and reply recommendations</w:t>
        </w:r>
      </w:hyperlink>
    </w:p>
    <w:p>
      <w:pPr>
        <w:spacing w:after="50"/>
        <w:ind w:left="259" w:hanging="259"/>
      </w:pPr>
      <w:r>
        <w:rPr>
          <w:rFonts w:ascii="Aptos" w:hAnsi="Aptos"/>
          <w:b/>
          <w:color w:val="0B2545"/>
          <w:sz w:val="18"/>
        </w:rPr>
        <w:t xml:space="preserve">[S30] </w:t>
      </w:r>
      <w:hyperlink r:id="rId46">
        <w:r>
          <w:rPr>
            <w:color w:val="0B6E99"/>
            <w:u w:val="single"/>
            <w:rFonts w:ascii="Aptos" w:hAnsi="Aptos"/>
            <w:sz w:val="18"/>
          </w:rPr>
          <w:t>HubSpot — store sensitive data and apply BAA</w:t>
        </w:r>
      </w:hyperlink>
    </w:p>
    <w:p>
      <w:pPr>
        <w:spacing w:after="50"/>
        <w:ind w:left="259" w:hanging="259"/>
      </w:pPr>
      <w:r>
        <w:rPr>
          <w:rFonts w:ascii="Aptos" w:hAnsi="Aptos"/>
          <w:b/>
          <w:color w:val="0B2545"/>
          <w:sz w:val="18"/>
        </w:rPr>
        <w:t xml:space="preserve">[S31] </w:t>
      </w:r>
      <w:hyperlink r:id="rId47">
        <w:r>
          <w:rPr>
            <w:color w:val="0B6E99"/>
            <w:u w:val="single"/>
            <w:rFonts w:ascii="Aptos" w:hAnsi="Aptos"/>
            <w:sz w:val="18"/>
          </w:rPr>
          <w:t>HubSpot — healthcare CRM and qualifying Enterprise BAA</w:t>
        </w:r>
      </w:hyperlink>
    </w:p>
    <w:p>
      <w:pPr>
        <w:spacing w:after="50"/>
        <w:ind w:left="259" w:hanging="259"/>
      </w:pPr>
      <w:r>
        <w:rPr>
          <w:rFonts w:ascii="Aptos" w:hAnsi="Aptos"/>
          <w:b/>
          <w:color w:val="0B2545"/>
          <w:sz w:val="18"/>
        </w:rPr>
        <w:t xml:space="preserve">[S32] </w:t>
      </w:r>
      <w:hyperlink r:id="rId48">
        <w:r>
          <w:rPr>
            <w:color w:val="0B6E99"/>
            <w:u w:val="single"/>
            <w:rFonts w:ascii="Aptos" w:hAnsi="Aptos"/>
            <w:sz w:val="18"/>
          </w:rPr>
          <w:t>Genesys — advanced routing overview</w:t>
        </w:r>
      </w:hyperlink>
    </w:p>
    <w:p>
      <w:pPr>
        <w:spacing w:after="50"/>
        <w:ind w:left="259" w:hanging="259"/>
      </w:pPr>
      <w:r>
        <w:rPr>
          <w:rFonts w:ascii="Aptos" w:hAnsi="Aptos"/>
          <w:b/>
          <w:color w:val="0B2545"/>
          <w:sz w:val="18"/>
        </w:rPr>
        <w:t xml:space="preserve">[S33] </w:t>
      </w:r>
      <w:hyperlink r:id="rId49">
        <w:r>
          <w:rPr>
            <w:color w:val="0B6E99"/>
            <w:u w:val="single"/>
            <w:rFonts w:ascii="Aptos" w:hAnsi="Aptos"/>
            <w:sz w:val="18"/>
          </w:rPr>
          <w:t>Genesys — predictive routing</w:t>
        </w:r>
      </w:hyperlink>
    </w:p>
    <w:p>
      <w:pPr>
        <w:spacing w:after="50"/>
        <w:ind w:left="259" w:hanging="259"/>
      </w:pPr>
      <w:r>
        <w:rPr>
          <w:rFonts w:ascii="Aptos" w:hAnsi="Aptos"/>
          <w:b/>
          <w:color w:val="0B2545"/>
          <w:sz w:val="18"/>
        </w:rPr>
        <w:t xml:space="preserve">[S34] </w:t>
      </w:r>
      <w:hyperlink r:id="rId50">
        <w:r>
          <w:rPr>
            <w:color w:val="0B6E99"/>
            <w:u w:val="single"/>
            <w:rFonts w:ascii="Aptos" w:hAnsi="Aptos"/>
            <w:sz w:val="18"/>
          </w:rPr>
          <w:t>Genesys — create Agent Copilot</w:t>
        </w:r>
      </w:hyperlink>
    </w:p>
    <w:p>
      <w:pPr>
        <w:spacing w:after="50"/>
        <w:ind w:left="259" w:hanging="259"/>
      </w:pPr>
      <w:r>
        <w:rPr>
          <w:rFonts w:ascii="Aptos" w:hAnsi="Aptos"/>
          <w:b/>
          <w:color w:val="0B2545"/>
          <w:sz w:val="18"/>
        </w:rPr>
        <w:t xml:space="preserve">[S35] </w:t>
      </w:r>
      <w:hyperlink r:id="rId51">
        <w:r>
          <w:rPr>
            <w:color w:val="0B6E99"/>
            <w:u w:val="single"/>
            <w:rFonts w:ascii="Aptos" w:hAnsi="Aptos"/>
            <w:sz w:val="18"/>
          </w:rPr>
          <w:t>Genesys — Agent Copilot performance dashboard</w:t>
        </w:r>
      </w:hyperlink>
    </w:p>
    <w:p>
      <w:pPr>
        <w:spacing w:after="50"/>
        <w:ind w:left="259" w:hanging="259"/>
      </w:pPr>
      <w:r>
        <w:rPr>
          <w:rFonts w:ascii="Aptos" w:hAnsi="Aptos"/>
          <w:b/>
          <w:color w:val="0B2545"/>
          <w:sz w:val="18"/>
        </w:rPr>
        <w:t xml:space="preserve">[S36] </w:t>
      </w:r>
      <w:hyperlink r:id="rId52">
        <w:r>
          <w:rPr>
            <w:color w:val="0B6E99"/>
            <w:u w:val="single"/>
            <w:rFonts w:ascii="Aptos" w:hAnsi="Aptos"/>
            <w:sz w:val="18"/>
          </w:rPr>
          <w:t>Genesys — Cloud Trust Center compliance</w:t>
        </w:r>
      </w:hyperlink>
    </w:p>
    <w:p>
      <w:pPr>
        <w:spacing w:after="50"/>
        <w:ind w:left="259" w:hanging="259"/>
      </w:pPr>
      <w:r>
        <w:rPr>
          <w:rFonts w:ascii="Aptos" w:hAnsi="Aptos"/>
          <w:b/>
          <w:color w:val="0B2545"/>
          <w:sz w:val="18"/>
        </w:rPr>
        <w:t xml:space="preserve">[S37] </w:t>
      </w:r>
      <w:hyperlink r:id="rId53">
        <w:r>
          <w:rPr>
            <w:color w:val="0B6E99"/>
            <w:u w:val="single"/>
            <w:rFonts w:ascii="Aptos" w:hAnsi="Aptos"/>
            <w:sz w:val="18"/>
          </w:rPr>
          <w:t>NICE CXone — Agent Workspace FAQ and channel support</w:t>
        </w:r>
      </w:hyperlink>
    </w:p>
    <w:p>
      <w:pPr>
        <w:spacing w:after="50"/>
        <w:ind w:left="259" w:hanging="259"/>
      </w:pPr>
      <w:r>
        <w:rPr>
          <w:rFonts w:ascii="Aptos" w:hAnsi="Aptos"/>
          <w:b/>
          <w:color w:val="0B2545"/>
          <w:sz w:val="18"/>
        </w:rPr>
        <w:t xml:space="preserve">[S38] </w:t>
      </w:r>
      <w:hyperlink r:id="rId54">
        <w:r>
          <w:rPr>
            <w:color w:val="0B6E99"/>
            <w:u w:val="single"/>
            <w:rFonts w:ascii="Aptos" w:hAnsi="Aptos"/>
            <w:sz w:val="18"/>
          </w:rPr>
          <w:t>NICE CXone — Copilot for Agents in Agent Workspace</w:t>
        </w:r>
      </w:hyperlink>
    </w:p>
    <w:p>
      <w:pPr>
        <w:spacing w:after="50"/>
        <w:ind w:left="259" w:hanging="259"/>
      </w:pPr>
      <w:r>
        <w:rPr>
          <w:rFonts w:ascii="Aptos" w:hAnsi="Aptos"/>
          <w:b/>
          <w:color w:val="0B2545"/>
          <w:sz w:val="18"/>
        </w:rPr>
        <w:t xml:space="preserve">[S39] </w:t>
      </w:r>
      <w:hyperlink r:id="rId55">
        <w:r>
          <w:rPr>
            <w:color w:val="0B6E99"/>
            <w:u w:val="single"/>
            <w:rFonts w:ascii="Aptos" w:hAnsi="Aptos"/>
            <w:sz w:val="18"/>
          </w:rPr>
          <w:t>NICE CXone — platform availability and advanced routing</w:t>
        </w:r>
      </w:hyperlink>
    </w:p>
    <w:p>
      <w:pPr>
        <w:spacing w:after="50"/>
        <w:ind w:left="259" w:hanging="259"/>
      </w:pPr>
      <w:r>
        <w:rPr>
          <w:rFonts w:ascii="Aptos" w:hAnsi="Aptos"/>
          <w:b/>
          <w:color w:val="0B2545"/>
          <w:sz w:val="18"/>
        </w:rPr>
        <w:t xml:space="preserve">[S40] </w:t>
      </w:r>
      <w:hyperlink r:id="rId56">
        <w:r>
          <w:rPr>
            <w:color w:val="0B6E99"/>
            <w:u w:val="single"/>
            <w:rFonts w:ascii="Aptos" w:hAnsi="Aptos"/>
            <w:sz w:val="18"/>
          </w:rPr>
          <w:t>NICE — CXone security and reliability</w:t>
        </w:r>
      </w:hyperlink>
    </w:p>
    <w:p>
      <w:pPr>
        <w:spacing w:after="50"/>
        <w:ind w:left="259" w:hanging="259"/>
      </w:pPr>
      <w:r>
        <w:rPr>
          <w:rFonts w:ascii="Aptos" w:hAnsi="Aptos"/>
          <w:b/>
          <w:color w:val="0B2545"/>
          <w:sz w:val="18"/>
        </w:rPr>
        <w:t xml:space="preserve">[S41] </w:t>
      </w:r>
      <w:hyperlink r:id="rId57">
        <w:r>
          <w:rPr>
            <w:color w:val="0B6E99"/>
            <w:u w:val="single"/>
            <w:rFonts w:ascii="Aptos" w:hAnsi="Aptos"/>
            <w:sz w:val="18"/>
          </w:rPr>
          <w:t>NICE — healthcare experience and BAA posture</w:t>
        </w:r>
      </w:hyperlink>
    </w:p>
    <w:p>
      <w:pPr>
        <w:spacing w:after="50"/>
        <w:ind w:left="259" w:hanging="259"/>
      </w:pPr>
      <w:r>
        <w:rPr>
          <w:rFonts w:ascii="Aptos" w:hAnsi="Aptos"/>
          <w:b/>
          <w:color w:val="0B2545"/>
          <w:sz w:val="18"/>
        </w:rPr>
        <w:t xml:space="preserve">[S42] </w:t>
      </w:r>
      <w:hyperlink r:id="rId58">
        <w:r>
          <w:rPr>
            <w:color w:val="0B6E99"/>
            <w:u w:val="single"/>
            <w:rFonts w:ascii="Aptos" w:hAnsi="Aptos"/>
            <w:sz w:val="18"/>
          </w:rPr>
          <w:t>Twilio Flex — routing core concepts</w:t>
        </w:r>
      </w:hyperlink>
    </w:p>
    <w:p>
      <w:pPr>
        <w:spacing w:after="50"/>
        <w:ind w:left="259" w:hanging="259"/>
      </w:pPr>
      <w:r>
        <w:rPr>
          <w:rFonts w:ascii="Aptos" w:hAnsi="Aptos"/>
          <w:b/>
          <w:color w:val="0B2545"/>
          <w:sz w:val="18"/>
        </w:rPr>
        <w:t xml:space="preserve">[S43] </w:t>
      </w:r>
      <w:hyperlink r:id="rId59">
        <w:r>
          <w:rPr>
            <w:color w:val="0B6E99"/>
            <w:u w:val="single"/>
            <w:rFonts w:ascii="Aptos" w:hAnsi="Aptos"/>
            <w:sz w:val="18"/>
          </w:rPr>
          <w:t>Twilio Flex — Conversations channels and orchestration</w:t>
        </w:r>
      </w:hyperlink>
    </w:p>
    <w:p>
      <w:pPr>
        <w:spacing w:after="50"/>
        <w:ind w:left="259" w:hanging="259"/>
      </w:pPr>
      <w:r>
        <w:rPr>
          <w:rFonts w:ascii="Aptos" w:hAnsi="Aptos"/>
          <w:b/>
          <w:color w:val="0B2545"/>
          <w:sz w:val="18"/>
        </w:rPr>
        <w:t xml:space="preserve">[S44] </w:t>
      </w:r>
      <w:hyperlink r:id="rId60">
        <w:r>
          <w:rPr>
            <w:color w:val="0B6E99"/>
            <w:u w:val="single"/>
            <w:rFonts w:ascii="Aptos" w:hAnsi="Aptos"/>
            <w:sz w:val="18"/>
          </w:rPr>
          <w:t>Twilio Flex — AI overview and HIPAA exclusion</w:t>
        </w:r>
      </w:hyperlink>
    </w:p>
    <w:p>
      <w:pPr>
        <w:spacing w:after="50"/>
        <w:ind w:left="259" w:hanging="259"/>
      </w:pPr>
      <w:r>
        <w:rPr>
          <w:rFonts w:ascii="Aptos" w:hAnsi="Aptos"/>
          <w:b/>
          <w:color w:val="0B2545"/>
          <w:sz w:val="18"/>
        </w:rPr>
        <w:t xml:space="preserve">[S45] </w:t>
      </w:r>
      <w:hyperlink r:id="rId61">
        <w:r>
          <w:rPr>
            <w:color w:val="0B6E99"/>
            <w:u w:val="single"/>
            <w:rFonts w:ascii="Aptos" w:hAnsi="Aptos"/>
            <w:sz w:val="18"/>
          </w:rPr>
          <w:t>Twilio — Architecting for HIPAA</w:t>
        </w:r>
      </w:hyperlink>
    </w:p>
    <w:p>
      <w:pPr>
        <w:spacing w:after="50"/>
        <w:ind w:left="259" w:hanging="259"/>
      </w:pPr>
      <w:r>
        <w:rPr>
          <w:rFonts w:ascii="Aptos" w:hAnsi="Aptos"/>
          <w:b/>
          <w:color w:val="0B2545"/>
          <w:sz w:val="18"/>
        </w:rPr>
        <w:t xml:space="preserve">[S46] </w:t>
      </w:r>
      <w:hyperlink r:id="rId62">
        <w:r>
          <w:rPr>
            <w:color w:val="0B6E99"/>
            <w:u w:val="single"/>
            <w:rFonts w:ascii="Aptos" w:hAnsi="Aptos"/>
            <w:sz w:val="18"/>
          </w:rPr>
          <w:t>Twilio — HIPAA Eligible Services</w:t>
        </w:r>
      </w:hyperlink>
    </w:p>
    <w:p>
      <w:pPr>
        <w:spacing w:after="50"/>
        <w:ind w:left="259" w:hanging="259"/>
      </w:pPr>
      <w:r>
        <w:rPr>
          <w:rFonts w:ascii="Aptos" w:hAnsi="Aptos"/>
          <w:b/>
          <w:color w:val="0B2545"/>
          <w:sz w:val="18"/>
        </w:rPr>
        <w:t xml:space="preserve">[S47] </w:t>
      </w:r>
      <w:hyperlink r:id="rId63">
        <w:r>
          <w:rPr>
            <w:color w:val="0B6E99"/>
            <w:u w:val="single"/>
            <w:rFonts w:ascii="Aptos" w:hAnsi="Aptos"/>
            <w:sz w:val="18"/>
          </w:rPr>
          <w:t>Talkdesk — Agent Workspace</w:t>
        </w:r>
      </w:hyperlink>
    </w:p>
    <w:p>
      <w:pPr>
        <w:spacing w:after="50"/>
        <w:ind w:left="259" w:hanging="259"/>
      </w:pPr>
      <w:r>
        <w:rPr>
          <w:rFonts w:ascii="Aptos" w:hAnsi="Aptos"/>
          <w:b/>
          <w:color w:val="0B2545"/>
          <w:sz w:val="18"/>
        </w:rPr>
        <w:t xml:space="preserve">[S48] </w:t>
      </w:r>
      <w:hyperlink r:id="rId64">
        <w:r>
          <w:rPr>
            <w:color w:val="0B6E99"/>
            <w:u w:val="single"/>
            <w:rFonts w:ascii="Aptos" w:hAnsi="Aptos"/>
            <w:sz w:val="18"/>
          </w:rPr>
          <w:t>Talkdesk — Digital Engagement FAQ and routing</w:t>
        </w:r>
      </w:hyperlink>
    </w:p>
    <w:p>
      <w:pPr>
        <w:spacing w:after="50"/>
        <w:ind w:left="259" w:hanging="259"/>
      </w:pPr>
      <w:r>
        <w:rPr>
          <w:rFonts w:ascii="Aptos" w:hAnsi="Aptos"/>
          <w:b/>
          <w:color w:val="0B2545"/>
          <w:sz w:val="18"/>
        </w:rPr>
        <w:t xml:space="preserve">[S49] </w:t>
      </w:r>
      <w:hyperlink r:id="rId65">
        <w:r>
          <w:rPr>
            <w:color w:val="0B6E99"/>
            <w:u w:val="single"/>
            <w:rFonts w:ascii="Aptos" w:hAnsi="Aptos"/>
            <w:sz w:val="18"/>
          </w:rPr>
          <w:t>Talkdesk — Copilot overview</w:t>
        </w:r>
      </w:hyperlink>
    </w:p>
    <w:p>
      <w:pPr>
        <w:spacing w:after="50"/>
        <w:ind w:left="259" w:hanging="259"/>
      </w:pPr>
      <w:r>
        <w:rPr>
          <w:rFonts w:ascii="Aptos" w:hAnsi="Aptos"/>
          <w:b/>
          <w:color w:val="0B2545"/>
          <w:sz w:val="18"/>
        </w:rPr>
        <w:t xml:space="preserve">[S50] </w:t>
      </w:r>
      <w:hyperlink r:id="rId66">
        <w:r>
          <w:rPr>
            <w:color w:val="0B6E99"/>
            <w:u w:val="single"/>
            <w:rFonts w:ascii="Aptos" w:hAnsi="Aptos"/>
            <w:sz w:val="18"/>
          </w:rPr>
          <w:t>Talkdesk — Copilot summarisation, next steps and disposition</w:t>
        </w:r>
      </w:hyperlink>
    </w:p>
    <w:p>
      <w:pPr>
        <w:spacing w:after="50"/>
        <w:ind w:left="259" w:hanging="259"/>
      </w:pPr>
      <w:r>
        <w:rPr>
          <w:rFonts w:ascii="Aptos" w:hAnsi="Aptos"/>
          <w:b/>
          <w:color w:val="0B2545"/>
          <w:sz w:val="18"/>
        </w:rPr>
        <w:t xml:space="preserve">[S51] </w:t>
      </w:r>
      <w:hyperlink r:id="rId67">
        <w:r>
          <w:rPr>
            <w:color w:val="0B6E99"/>
            <w:u w:val="single"/>
            <w:rFonts w:ascii="Aptos" w:hAnsi="Aptos"/>
            <w:sz w:val="18"/>
          </w:rPr>
          <w:t>Talkdesk — Healthcare Experience Cloud</w:t>
        </w:r>
      </w:hyperlink>
    </w:p>
    <w:p>
      <w:pPr>
        <w:spacing w:after="50"/>
        <w:ind w:left="259" w:hanging="259"/>
      </w:pPr>
      <w:r>
        <w:rPr>
          <w:rFonts w:ascii="Aptos" w:hAnsi="Aptos"/>
          <w:b/>
          <w:color w:val="0B2545"/>
          <w:sz w:val="18"/>
        </w:rPr>
        <w:t xml:space="preserve">[S52] </w:t>
      </w:r>
      <w:hyperlink r:id="rId68">
        <w:r>
          <w:rPr>
            <w:color w:val="0B6E99"/>
            <w:u w:val="single"/>
            <w:rFonts w:ascii="Aptos" w:hAnsi="Aptos"/>
            <w:sz w:val="18"/>
          </w:rPr>
          <w:t>Front — new inbox experience</w:t>
        </w:r>
      </w:hyperlink>
    </w:p>
    <w:p>
      <w:pPr>
        <w:spacing w:after="50"/>
        <w:ind w:left="259" w:hanging="259"/>
      </w:pPr>
      <w:r>
        <w:rPr>
          <w:rFonts w:ascii="Aptos" w:hAnsi="Aptos"/>
          <w:b/>
          <w:color w:val="0B2545"/>
          <w:sz w:val="18"/>
        </w:rPr>
        <w:t xml:space="preserve">[S53] </w:t>
      </w:r>
      <w:hyperlink r:id="rId69">
        <w:r>
          <w:rPr>
            <w:color w:val="0B6E99"/>
            <w:u w:val="single"/>
            <w:rFonts w:ascii="Aptos" w:hAnsi="Aptos"/>
            <w:sz w:val="18"/>
          </w:rPr>
          <w:t>Front — routing and triage rules</w:t>
        </w:r>
      </w:hyperlink>
    </w:p>
    <w:p>
      <w:pPr>
        <w:spacing w:after="50"/>
        <w:ind w:left="259" w:hanging="259"/>
      </w:pPr>
      <w:r>
        <w:rPr>
          <w:rFonts w:ascii="Aptos" w:hAnsi="Aptos"/>
          <w:b/>
          <w:color w:val="0B2545"/>
          <w:sz w:val="18"/>
        </w:rPr>
        <w:t xml:space="preserve">[S54] </w:t>
      </w:r>
      <w:hyperlink r:id="rId70">
        <w:r>
          <w:rPr>
            <w:color w:val="0B6E99"/>
            <w:u w:val="single"/>
            <w:rFonts w:ascii="Aptos" w:hAnsi="Aptos"/>
            <w:sz w:val="18"/>
          </w:rPr>
          <w:t>Front — rules, goals and load balancing</w:t>
        </w:r>
      </w:hyperlink>
    </w:p>
    <w:p>
      <w:pPr>
        <w:spacing w:after="50"/>
        <w:ind w:left="259" w:hanging="259"/>
      </w:pPr>
      <w:r>
        <w:rPr>
          <w:rFonts w:ascii="Aptos" w:hAnsi="Aptos"/>
          <w:b/>
          <w:color w:val="0B2545"/>
          <w:sz w:val="18"/>
        </w:rPr>
        <w:t xml:space="preserve">[S55] </w:t>
      </w:r>
      <w:hyperlink r:id="rId71">
        <w:r>
          <w:rPr>
            <w:color w:val="0B6E99"/>
            <w:u w:val="single"/>
            <w:rFonts w:ascii="Aptos" w:hAnsi="Aptos"/>
            <w:sz w:val="18"/>
          </w:rPr>
          <w:t>Front — AI conversation summaries</w:t>
        </w:r>
      </w:hyperlink>
    </w:p>
    <w:p>
      <w:pPr>
        <w:spacing w:after="50"/>
        <w:ind w:left="259" w:hanging="259"/>
      </w:pPr>
      <w:r>
        <w:rPr>
          <w:rFonts w:ascii="Aptos" w:hAnsi="Aptos"/>
          <w:b/>
          <w:color w:val="0B2545"/>
          <w:sz w:val="18"/>
        </w:rPr>
        <w:t xml:space="preserve">[S56] </w:t>
      </w:r>
      <w:hyperlink r:id="rId72">
        <w:r>
          <w:rPr>
            <w:color w:val="0B6E99"/>
            <w:u w:val="single"/>
            <w:rFonts w:ascii="Aptos" w:hAnsi="Aptos"/>
            <w:sz w:val="18"/>
          </w:rPr>
          <w:t>Front — Aircall voice in the inbox</w:t>
        </w:r>
      </w:hyperlink>
    </w:p>
    <w:p>
      <w:pPr>
        <w:spacing w:after="50"/>
        <w:ind w:left="259" w:hanging="259"/>
      </w:pPr>
      <w:r>
        <w:rPr>
          <w:rFonts w:ascii="Aptos" w:hAnsi="Aptos"/>
          <w:b/>
          <w:color w:val="0B2545"/>
          <w:sz w:val="18"/>
        </w:rPr>
        <w:t xml:space="preserve">[S57] </w:t>
      </w:r>
      <w:hyperlink r:id="rId73">
        <w:r>
          <w:rPr>
            <w:color w:val="0B6E99"/>
            <w:u w:val="single"/>
            <w:rFonts w:ascii="Aptos" w:hAnsi="Aptos"/>
            <w:sz w:val="18"/>
          </w:rPr>
          <w:t>Kustomer — route Voice calls to teams</w:t>
        </w:r>
      </w:hyperlink>
    </w:p>
    <w:p>
      <w:pPr>
        <w:spacing w:after="50"/>
        <w:ind w:left="259" w:hanging="259"/>
      </w:pPr>
      <w:r>
        <w:rPr>
          <w:rFonts w:ascii="Aptos" w:hAnsi="Aptos"/>
          <w:b/>
          <w:color w:val="0B2545"/>
          <w:sz w:val="18"/>
        </w:rPr>
        <w:t xml:space="preserve">[S58] </w:t>
      </w:r>
      <w:hyperlink r:id="rId74">
        <w:r>
          <w:rPr>
            <w:color w:val="0B6E99"/>
            <w:u w:val="single"/>
            <w:rFonts w:ascii="Aptos" w:hAnsi="Aptos"/>
            <w:sz w:val="18"/>
          </w:rPr>
          <w:t>Kustomer — Voice integration and transfers</w:t>
        </w:r>
      </w:hyperlink>
    </w:p>
    <w:p>
      <w:pPr>
        <w:spacing w:after="50"/>
        <w:ind w:left="259" w:hanging="259"/>
      </w:pPr>
      <w:r>
        <w:rPr>
          <w:rFonts w:ascii="Aptos" w:hAnsi="Aptos"/>
          <w:b/>
          <w:color w:val="0B2545"/>
          <w:sz w:val="18"/>
        </w:rPr>
        <w:t xml:space="preserve">[S59] </w:t>
      </w:r>
      <w:hyperlink r:id="rId75">
        <w:r>
          <w:rPr>
            <w:color w:val="0B6E99"/>
            <w:u w:val="single"/>
            <w:rFonts w:ascii="Aptos" w:hAnsi="Aptos"/>
            <w:sz w:val="18"/>
          </w:rPr>
          <w:t>Kustomer — Voice assistant and IVR</w:t>
        </w:r>
      </w:hyperlink>
    </w:p>
    <w:p>
      <w:pPr>
        <w:spacing w:after="50"/>
        <w:ind w:left="259" w:hanging="259"/>
      </w:pPr>
      <w:r>
        <w:rPr>
          <w:rFonts w:ascii="Aptos" w:hAnsi="Aptos"/>
          <w:b/>
          <w:color w:val="0B2545"/>
          <w:sz w:val="18"/>
        </w:rPr>
        <w:t xml:space="preserve">[S60] </w:t>
      </w:r>
      <w:hyperlink r:id="rId76">
        <w:r>
          <w:rPr>
            <w:color w:val="0B6E99"/>
            <w:u w:val="single"/>
            <w:rFonts w:ascii="Aptos" w:hAnsi="Aptos"/>
            <w:sz w:val="18"/>
          </w:rPr>
          <w:t>Kustomer — route Voice by customer attribute</w:t>
        </w:r>
      </w:hyperlink>
    </w:p>
    <w:p>
      <w:pPr>
        <w:spacing w:after="50"/>
        <w:ind w:left="259" w:hanging="259"/>
      </w:pPr>
      <w:r>
        <w:rPr>
          <w:rFonts w:ascii="Aptos" w:hAnsi="Aptos"/>
          <w:b/>
          <w:color w:val="0B2545"/>
          <w:sz w:val="18"/>
        </w:rPr>
        <w:t xml:space="preserve">[S61] </w:t>
      </w:r>
      <w:hyperlink r:id="rId77">
        <w:r>
          <w:rPr>
            <w:color w:val="0B6E99"/>
            <w:u w:val="single"/>
            <w:rFonts w:ascii="Aptos" w:hAnsi="Aptos"/>
            <w:sz w:val="18"/>
          </w:rPr>
          <w:t>Kustomer — classification models with queues</w:t>
        </w:r>
      </w:hyperlink>
    </w:p>
    <w:p>
      <w:pPr>
        <w:spacing w:after="50"/>
        <w:ind w:left="259" w:hanging="259"/>
      </w:pPr>
      <w:r>
        <w:rPr>
          <w:rFonts w:ascii="Aptos" w:hAnsi="Aptos"/>
          <w:b/>
          <w:color w:val="0B2545"/>
          <w:sz w:val="18"/>
        </w:rPr>
        <w:t xml:space="preserve">[S62] </w:t>
      </w:r>
      <w:hyperlink r:id="rId78">
        <w:r>
          <w:rPr>
            <w:color w:val="0B6E99"/>
            <w:u w:val="single"/>
            <w:rFonts w:ascii="Aptos" w:hAnsi="Aptos"/>
            <w:sz w:val="18"/>
          </w:rPr>
          <w:t>Respond.io — Inbox structure and calls</w:t>
        </w:r>
      </w:hyperlink>
    </w:p>
    <w:p>
      <w:pPr>
        <w:spacing w:after="50"/>
        <w:ind w:left="259" w:hanging="259"/>
      </w:pPr>
      <w:r>
        <w:rPr>
          <w:rFonts w:ascii="Aptos" w:hAnsi="Aptos"/>
          <w:b/>
          <w:color w:val="0B2545"/>
          <w:sz w:val="18"/>
        </w:rPr>
        <w:t xml:space="preserve">[S63] </w:t>
      </w:r>
      <w:hyperlink r:id="rId79">
        <w:r>
          <w:rPr>
            <w:color w:val="0B6E99"/>
            <w:u w:val="single"/>
            <w:rFonts w:ascii="Aptos" w:hAnsi="Aptos"/>
            <w:sz w:val="18"/>
          </w:rPr>
          <w:t>Respond.io — manage calls, recordings, transcripts and AI transfer</w:t>
        </w:r>
      </w:hyperlink>
    </w:p>
    <w:p>
      <w:pPr>
        <w:spacing w:after="50"/>
        <w:ind w:left="259" w:hanging="259"/>
      </w:pPr>
      <w:r>
        <w:rPr>
          <w:rFonts w:ascii="Aptos" w:hAnsi="Aptos"/>
          <w:b/>
          <w:color w:val="0B2545"/>
          <w:sz w:val="18"/>
        </w:rPr>
        <w:t xml:space="preserve">[S64] </w:t>
      </w:r>
      <w:hyperlink r:id="rId80">
        <w:r>
          <w:rPr>
            <w:color w:val="0B6E99"/>
            <w:u w:val="single"/>
            <w:rFonts w:ascii="Aptos" w:hAnsi="Aptos"/>
            <w:sz w:val="18"/>
          </w:rPr>
          <w:t>Respond.io — assignment and AI closing summary</w:t>
        </w:r>
      </w:hyperlink>
    </w:p>
    <w:p>
      <w:pPr>
        <w:spacing w:after="50"/>
        <w:ind w:left="259" w:hanging="259"/>
      </w:pPr>
      <w:r>
        <w:rPr>
          <w:rFonts w:ascii="Aptos" w:hAnsi="Aptos"/>
          <w:b/>
          <w:color w:val="0B2545"/>
          <w:sz w:val="18"/>
        </w:rPr>
        <w:t xml:space="preserve">[S65] </w:t>
      </w:r>
      <w:hyperlink r:id="rId81">
        <w:r>
          <w:rPr>
            <w:color w:val="0B6E99"/>
            <w:u w:val="single"/>
            <w:rFonts w:ascii="Aptos" w:hAnsi="Aptos"/>
            <w:sz w:val="18"/>
          </w:rPr>
          <w:t>Respond.io — managing conversations and AI assist</w:t>
        </w:r>
      </w:hyperlink>
    </w:p>
    <w:p>
      <w:pPr>
        <w:spacing w:after="50"/>
        <w:ind w:left="259" w:hanging="259"/>
      </w:pPr>
      <w:r>
        <w:rPr>
          <w:rFonts w:ascii="Aptos" w:hAnsi="Aptos"/>
          <w:b/>
          <w:color w:val="0B2545"/>
          <w:sz w:val="18"/>
        </w:rPr>
        <w:t xml:space="preserve">[S66] </w:t>
      </w:r>
      <w:hyperlink r:id="rId82">
        <w:r>
          <w:rPr>
            <w:color w:val="0B6E99"/>
            <w:u w:val="single"/>
            <w:rFonts w:ascii="Aptos" w:hAnsi="Aptos"/>
            <w:sz w:val="18"/>
          </w:rPr>
          <w:t>Respond.io — AI agent assignment and human takeover</w:t>
        </w:r>
      </w:hyperlink>
    </w:p>
    <w:p>
      <w:pPr>
        <w:spacing w:after="50"/>
        <w:ind w:left="259" w:hanging="259"/>
      </w:pPr>
      <w:r>
        <w:rPr>
          <w:rFonts w:ascii="Aptos" w:hAnsi="Aptos"/>
          <w:b/>
          <w:color w:val="0B2545"/>
          <w:sz w:val="18"/>
        </w:rPr>
        <w:t xml:space="preserve">[S67] </w:t>
      </w:r>
      <w:hyperlink r:id="rId83">
        <w:r>
          <w:rPr>
            <w:color w:val="0B6E99"/>
            <w:u w:val="single"/>
            <w:rFonts w:ascii="Aptos" w:hAnsi="Aptos"/>
            <w:sz w:val="18"/>
          </w:rPr>
          <w:t>SleekFlow — platform and shared inbox</w:t>
        </w:r>
      </w:hyperlink>
    </w:p>
    <w:p>
      <w:pPr>
        <w:spacing w:after="50"/>
        <w:ind w:left="259" w:hanging="259"/>
      </w:pPr>
      <w:r>
        <w:rPr>
          <w:rFonts w:ascii="Aptos" w:hAnsi="Aptos"/>
          <w:b/>
          <w:color w:val="0B2545"/>
          <w:sz w:val="18"/>
        </w:rPr>
        <w:t xml:space="preserve">[S68] </w:t>
      </w:r>
      <w:hyperlink r:id="rId84">
        <w:r>
          <w:rPr>
            <w:color w:val="0B6E99"/>
            <w:u w:val="single"/>
            <w:rFonts w:ascii="Aptos" w:hAnsi="Aptos"/>
            <w:sz w:val="18"/>
          </w:rPr>
          <w:t>SleekFlow — AI-to-team round-robin flow</w:t>
        </w:r>
      </w:hyperlink>
    </w:p>
    <w:p>
      <w:pPr>
        <w:spacing w:after="50"/>
        <w:ind w:left="259" w:hanging="259"/>
      </w:pPr>
      <w:r>
        <w:rPr>
          <w:rFonts w:ascii="Aptos" w:hAnsi="Aptos"/>
          <w:b/>
          <w:color w:val="0B2545"/>
          <w:sz w:val="18"/>
        </w:rPr>
        <w:t xml:space="preserve">[S69] </w:t>
      </w:r>
      <w:hyperlink r:id="rId85">
        <w:r>
          <w:rPr>
            <w:color w:val="0B6E99"/>
            <w:u w:val="single"/>
            <w:rFonts w:ascii="Aptos" w:hAnsi="Aptos"/>
            <w:sz w:val="18"/>
          </w:rPr>
          <w:t>SleekFlow — omnichannel inbox and VoIP summaries</w:t>
        </w:r>
      </w:hyperlink>
    </w:p>
    <w:p>
      <w:pPr>
        <w:spacing w:after="50"/>
        <w:ind w:left="259" w:hanging="259"/>
      </w:pPr>
      <w:r>
        <w:rPr>
          <w:rFonts w:ascii="Aptos" w:hAnsi="Aptos"/>
          <w:b/>
          <w:color w:val="0B2545"/>
          <w:sz w:val="18"/>
        </w:rPr>
        <w:t xml:space="preserve">[S70] </w:t>
      </w:r>
      <w:hyperlink r:id="rId86">
        <w:r>
          <w:rPr>
            <w:color w:val="0B6E99"/>
            <w:u w:val="single"/>
            <w:rFonts w:ascii="Aptos" w:hAnsi="Aptos"/>
            <w:sz w:val="18"/>
          </w:rPr>
          <w:t>SleekFlow — AI execution trace</w:t>
        </w:r>
      </w:hyperlink>
    </w:p>
    <w:p>
      <w:pPr>
        <w:spacing w:after="50"/>
        <w:ind w:left="259" w:hanging="259"/>
      </w:pPr>
      <w:r>
        <w:rPr>
          <w:rFonts w:ascii="Aptos" w:hAnsi="Aptos"/>
          <w:b/>
          <w:color w:val="0B2545"/>
          <w:sz w:val="18"/>
        </w:rPr>
        <w:t xml:space="preserve">[S71] </w:t>
      </w:r>
      <w:hyperlink r:id="rId87">
        <w:r>
          <w:rPr>
            <w:color w:val="0B6E99"/>
            <w:u w:val="single"/>
            <w:rFonts w:ascii="Aptos" w:hAnsi="Aptos"/>
            <w:sz w:val="18"/>
          </w:rPr>
          <w:t>SleekFlow — AI feature catalogue</w:t>
        </w:r>
      </w:hyperlink>
    </w:p>
    <w:p>
      <w:pPr>
        <w:spacing w:after="50"/>
        <w:ind w:left="259" w:hanging="259"/>
      </w:pPr>
      <w:r>
        <w:rPr>
          <w:rFonts w:ascii="Aptos" w:hAnsi="Aptos"/>
          <w:b/>
          <w:color w:val="0B2545"/>
          <w:sz w:val="18"/>
        </w:rPr>
        <w:t xml:space="preserve">[S72] </w:t>
      </w:r>
      <w:hyperlink r:id="rId88">
        <w:r>
          <w:rPr>
            <w:color w:val="0B6E99"/>
            <w:u w:val="single"/>
            <w:rFonts w:ascii="Aptos" w:hAnsi="Aptos"/>
            <w:sz w:val="18"/>
          </w:rPr>
          <w:t>Zalo OA — messaging and voice customer care</w:t>
        </w:r>
      </w:hyperlink>
    </w:p>
    <w:p>
      <w:pPr>
        <w:spacing w:after="50"/>
        <w:ind w:left="259" w:hanging="259"/>
      </w:pPr>
      <w:r>
        <w:rPr>
          <w:rFonts w:ascii="Aptos" w:hAnsi="Aptos"/>
          <w:b/>
          <w:color w:val="0B2545"/>
          <w:sz w:val="18"/>
        </w:rPr>
        <w:t xml:space="preserve">[S73] </w:t>
      </w:r>
      <w:hyperlink r:id="rId89">
        <w:r>
          <w:rPr>
            <w:color w:val="0B6E99"/>
            <w:u w:val="single"/>
            <w:rFonts w:ascii="Aptos" w:hAnsi="Aptos"/>
            <w:sz w:val="18"/>
          </w:rPr>
          <w:t>Zalo OA — OpenAPI for CRM/omnichannel integration</w:t>
        </w:r>
      </w:hyperlink>
    </w:p>
    <w:p>
      <w:pPr>
        <w:spacing w:after="50"/>
        <w:ind w:left="259" w:hanging="259"/>
      </w:pPr>
      <w:r>
        <w:rPr>
          <w:rFonts w:ascii="Aptos" w:hAnsi="Aptos"/>
          <w:b/>
          <w:color w:val="0B2545"/>
          <w:sz w:val="18"/>
        </w:rPr>
        <w:t xml:space="preserve">[S74] </w:t>
      </w:r>
      <w:hyperlink r:id="rId90">
        <w:r>
          <w:rPr>
            <w:color w:val="0B6E99"/>
            <w:u w:val="single"/>
            <w:rFonts w:ascii="Aptos" w:hAnsi="Aptos"/>
            <w:sz w:val="18"/>
          </w:rPr>
          <w:t>Zalo OA — conversation operations and assignment</w:t>
        </w:r>
      </w:hyperlink>
    </w:p>
    <w:p>
      <w:pPr>
        <w:spacing w:after="50"/>
        <w:ind w:left="259" w:hanging="259"/>
      </w:pPr>
      <w:r>
        <w:rPr>
          <w:rFonts w:ascii="Aptos" w:hAnsi="Aptos"/>
          <w:b/>
          <w:color w:val="0B2545"/>
          <w:sz w:val="18"/>
        </w:rPr>
        <w:t xml:space="preserve">[S75] </w:t>
      </w:r>
      <w:hyperlink r:id="rId91">
        <w:r>
          <w:rPr>
            <w:color w:val="0B6E99"/>
            <w:u w:val="single"/>
            <w:rFonts w:ascii="Aptos" w:hAnsi="Aptos"/>
            <w:sz w:val="18"/>
          </w:rPr>
          <w:t>Zalo OA — Mini Call Center and Zalo Cloud Connect</w:t>
        </w:r>
      </w:hyperlink>
    </w:p>
    <w:p>
      <w:pPr>
        <w:spacing w:after="50"/>
        <w:ind w:left="259" w:hanging="259"/>
      </w:pPr>
      <w:r>
        <w:rPr>
          <w:rFonts w:ascii="Aptos" w:hAnsi="Aptos"/>
          <w:b/>
          <w:color w:val="0B2545"/>
          <w:sz w:val="18"/>
        </w:rPr>
        <w:t xml:space="preserve">[S76] </w:t>
      </w:r>
      <w:hyperlink r:id="rId92">
        <w:r>
          <w:rPr>
            <w:color w:val="0B6E99"/>
            <w:u w:val="single"/>
            <w:rFonts w:ascii="Aptos" w:hAnsi="Aptos"/>
            <w:sz w:val="18"/>
          </w:rPr>
          <w:t>Zalo OA — built-in chatbot</w:t>
        </w:r>
      </w:hyperlink>
    </w:p>
    <w:p>
      <w:pPr>
        <w:pStyle w:val="Heading1"/>
      </w:pPr>
      <w:r>
        <w:t>Appendix B. Local Health19 evidence reviewed</w:t>
      </w:r>
    </w:p>
    <w:p>
      <w:pPr>
        <w:pStyle w:val="ListBullet"/>
      </w:pPr>
      <w:r>
        <w:rPr>
          <w:rFonts w:ascii="Aptos" w:hAnsi="Aptos"/>
          <w:color w:val="17212B"/>
          <w:sz w:val="20"/>
        </w:rPr>
        <w:t>addons/health_crm/__manifest__.py — CRM Center, Odoo 19 version and existing OWL assets.</w:t>
      </w:r>
    </w:p>
    <w:p>
      <w:pPr>
        <w:pStyle w:val="ListBullet"/>
      </w:pPr>
      <w:r>
        <w:rPr>
          <w:rFonts w:ascii="Aptos" w:hAnsi="Aptos"/>
          <w:color w:val="17212B"/>
          <w:sz w:val="20"/>
        </w:rPr>
        <w:t>addons/health_crm/views/crm_center_views.xml — Contact/client/list/calendar actions and Health19 workflow fields.</w:t>
      </w:r>
    </w:p>
    <w:p>
      <w:pPr>
        <w:pStyle w:val="ListBullet"/>
      </w:pPr>
      <w:r>
        <w:rPr>
          <w:rFonts w:ascii="Aptos" w:hAnsi="Aptos"/>
          <w:color w:val="17212B"/>
          <w:sz w:val="20"/>
        </w:rPr>
        <w:t>addons/health_crm/static/src/js/ — CRM Center sidebar, dashboard and contact/timeline components.</w:t>
      </w:r>
    </w:p>
    <w:p>
      <w:pPr>
        <w:pStyle w:val="ListBullet"/>
      </w:pPr>
      <w:r>
        <w:rPr>
          <w:rFonts w:ascii="Aptos" w:hAnsi="Aptos"/>
          <w:color w:val="17212B"/>
          <w:sz w:val="20"/>
        </w:rPr>
        <w:t>addons/health_zalo/ — OA OAuth/API/webhooks, conversations/messages, live bus and OWL chat surfaces.</w:t>
      </w:r>
    </w:p>
    <w:p>
      <w:pPr>
        <w:pStyle w:val="ListBullet"/>
      </w:pPr>
      <w:r>
        <w:rPr>
          <w:rFonts w:ascii="Aptos" w:hAnsi="Aptos"/>
          <w:color w:val="17212B"/>
          <w:sz w:val="20"/>
        </w:rPr>
        <w:t>addons/health_voip24h/ — Call logs, recordings, matching, click-to-dial and incoming popup services.</w:t>
      </w:r>
    </w:p>
    <w:p>
      <w:pPr>
        <w:pStyle w:val="ListBullet"/>
      </w:pPr>
      <w:r>
        <w:rPr>
          <w:rFonts w:ascii="Aptos" w:hAnsi="Aptos"/>
          <w:color w:val="17212B"/>
          <w:sz w:val="20"/>
        </w:rPr>
        <w:t>addons/health_messaging/ — ZNS/email/call fallback with off-by-default safety controls.</w:t>
      </w:r>
    </w:p>
    <w:p>
      <w:pPr>
        <w:pStyle w:val="ListBullet"/>
      </w:pPr>
      <w:r>
        <w:rPr>
          <w:rFonts w:ascii="Aptos" w:hAnsi="Aptos"/>
          <w:color w:val="17212B"/>
          <w:sz w:val="20"/>
        </w:rPr>
        <w:t>addons/health_family_messages/ — Consent-gated, encrypted, append-only family messaging.</w:t>
      </w:r>
    </w:p>
    <w:p>
      <w:pPr>
        <w:pStyle w:val="Recommendation"/>
        <w:keepLines/>
      </w:pPr>
      <w:r>
        <w:rPr>
          <w:rFonts w:ascii="Aptos" w:hAnsi="Aptos"/>
          <w:b/>
          <w:color w:val="0B2545"/>
          <w:sz w:val="20"/>
        </w:rPr>
        <w:t xml:space="preserve">FINAL PRODUCT PRINCIPLE  </w:t>
      </w:r>
      <w:r>
        <w:rPr>
          <w:rFonts w:ascii="Aptos" w:hAnsi="Aptos"/>
          <w:b w:val="0"/>
          <w:color w:val="17212B"/>
          <w:sz w:val="20"/>
        </w:rPr>
        <w:t>Make the safest next action feel effortless, and make every automated conclusion inspectable.</w:t>
      </w:r>
    </w:p>
    <w:sectPr w:rsidR="00FC693F" w:rsidRPr="0006063C" w:rsidSect="00034616">
      <w:headerReference w:type="default" r:id="rId15"/>
      <w:footerReference w:type="default" r:id="rId16"/>
      <w:pgSz w:w="12240" w:h="15840"/>
      <w:pgMar w:top="1152"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6B76"/>
        <w:sz w:val="18"/>
      </w:rPr>
      <w:t xml:space="preserve">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6B76"/>
        <w:sz w:val="18"/>
      </w:rPr>
      <w:t xml:space="preserve">Page </w:t>
    </w: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6B7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F6B76"/>
        <w:sz w:val="17"/>
      </w:rPr>
      <w:t>HEALTH19 | CARE COMMAND CENTER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F6B76"/>
        <w:sz w:val="17"/>
      </w:rPr>
      <w:t>HEALTH19 | VERIFIED COMPETITOR MATRIX</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F6B76"/>
        <w:sz w:val="17"/>
      </w:rPr>
      <w:t>HEALTH19 | CARE COMMAND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B2545"/>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B6E99"/>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E8A7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w:hAnsi="Aptos"/>
      <w:b w:val="0"/>
      <w:i/>
      <w:iCs/>
      <w:color w:val="5F6B7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69" w:lineRule="auto"/>
      <w:ind w:left="490"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69" w:lineRule="auto"/>
      <w:ind w:left="490" w:hanging="25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40" w:line="269" w:lineRule="auto"/>
      <w:ind w:left="259" w:right="259"/>
      <w:shd w:fill="EAF4FA"/>
      <w:pBdr>
        <w:left w:val="single" w:sz="18" w:space="8" w:color="0B6E99"/>
      </w:pBdr>
    </w:pPr>
    <w:rPr>
      <w:rFonts w:ascii="Aptos" w:hAnsi="Aptos"/>
      <w:color w:val="0B2545"/>
      <w:sz w:val="20"/>
    </w:rPr>
  </w:style>
  <w:style w:type="paragraph" w:customStyle="1" w:styleId="Recommendation">
    <w:name w:val="Recommendation"/>
    <w:pPr>
      <w:spacing w:before="120" w:after="140" w:line="269" w:lineRule="auto"/>
      <w:ind w:left="259" w:right="259"/>
      <w:shd w:fill="E8F5F2"/>
      <w:pBdr>
        <w:left w:val="single" w:sz="18" w:space="8" w:color="0E8A7B"/>
      </w:pBdr>
    </w:pPr>
    <w:rPr>
      <w:rFonts w:ascii="Aptos" w:hAnsi="Aptos"/>
      <w:color w:val="0B2545"/>
      <w:sz w:val="20"/>
    </w:rPr>
  </w:style>
  <w:style w:type="paragraph" w:customStyle="1" w:styleId="Caution">
    <w:name w:val="Caution"/>
    <w:pPr>
      <w:spacing w:before="120" w:after="140" w:line="269" w:lineRule="auto"/>
      <w:ind w:left="259" w:right="259"/>
      <w:shd w:fill="FFF4DB"/>
      <w:pBdr>
        <w:left w:val="single" w:sz="18" w:space="8" w:color="B26A00"/>
      </w:pBdr>
    </w:pPr>
    <w:rPr>
      <w:rFonts w:ascii="Aptos" w:hAnsi="Aptos"/>
      <w:color w:val="17212B"/>
      <w:sz w:val="20"/>
    </w:rPr>
  </w:style>
  <w:style w:type="paragraph" w:customStyle="1" w:styleId="Risk">
    <w:name w:val="Risk"/>
    <w:pPr>
      <w:spacing w:before="120" w:after="140" w:line="269" w:lineRule="auto"/>
      <w:ind w:left="259" w:right="259"/>
      <w:shd w:fill="FDECEF"/>
      <w:pBdr>
        <w:left w:val="single" w:sz="18" w:space="8" w:color="A61B2B"/>
      </w:pBdr>
    </w:pPr>
    <w:rPr>
      <w:rFonts w:ascii="Aptos" w:hAnsi="Aptos"/>
      <w:color w:val="17212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yperlink" Target="https://pancake.vn/" TargetMode="External"/><Relationship Id="rId18" Type="http://schemas.openxmlformats.org/officeDocument/2006/relationships/hyperlink" Target="https://crm.pancake.vn/" TargetMode="External"/><Relationship Id="rId19" Type="http://schemas.openxmlformats.org/officeDocument/2006/relationships/hyperlink" Target="https://order.pancake.vn/" TargetMode="External"/><Relationship Id="rId20" Type="http://schemas.openxmlformats.org/officeDocument/2006/relationships/hyperlink" Target="https://www.intercom.com/helpdesk/inbox" TargetMode="External"/><Relationship Id="rId21" Type="http://schemas.openxmlformats.org/officeDocument/2006/relationships/hyperlink" Target="https://www.intercom.com/help/en/articles/8488917-take-calls-from-the-inbox" TargetMode="External"/><Relationship Id="rId22" Type="http://schemas.openxmlformats.org/officeDocument/2006/relationships/hyperlink" Target="https://www.intercom.com/help/en/articles/6955446-ai-features-available-in-the-inbox" TargetMode="External"/><Relationship Id="rId23" Type="http://schemas.openxmlformats.org/officeDocument/2006/relationships/hyperlink" Target="https://www.intercom.com/help/en/articles/12292449-understanding-and-managing-user-ids" TargetMode="External"/><Relationship Id="rId24" Type="http://schemas.openxmlformats.org/officeDocument/2006/relationships/hyperlink" Target="https://www.intercom.com/help/en/articles/8827723-contacts-faqs" TargetMode="External"/><Relationship Id="rId25" Type="http://schemas.openxmlformats.org/officeDocument/2006/relationships/hyperlink" Target="https://support.zendesk.com/hc/en-us/articles/4408821259930-About-the-Zendesk-Agent-Workspace/" TargetMode="External"/><Relationship Id="rId26" Type="http://schemas.openxmlformats.org/officeDocument/2006/relationships/hyperlink" Target="https://support.zendesk.com/hc/en-us/articles/4409149119514-About-omnichannel-routing" TargetMode="External"/><Relationship Id="rId27" Type="http://schemas.openxmlformats.org/officeDocument/2006/relationships/hyperlink" Target="https://support.zendesk.com/hc/en-us/articles/4828787357210-Managing-your-omnichannel-routing-configuration" TargetMode="External"/><Relationship Id="rId28" Type="http://schemas.openxmlformats.org/officeDocument/2006/relationships/hyperlink" Target="https://support.zendesk.com/hc/en-us/articles/10169333291290-Creating-an-AI-agent-for-the-voice-channel-EAP" TargetMode="External"/><Relationship Id="rId29" Type="http://schemas.openxmlformats.org/officeDocument/2006/relationships/hyperlink" Target="https://support.zendesk.com/hc/en-us/articles/4408820063898-Is-Zendesk-HIPAA-compliant" TargetMode="External"/><Relationship Id="rId30" Type="http://schemas.openxmlformats.org/officeDocument/2006/relationships/hyperlink" Target="https://help.salesforce.com/s/articleView?id=support_channels.htm&amp;language=en_US" TargetMode="External"/><Relationship Id="rId31" Type="http://schemas.openxmlformats.org/officeDocument/2006/relationships/hyperlink" Target="https://www.salesforce.com/service/cloud/" TargetMode="External"/><Relationship Id="rId32" Type="http://schemas.openxmlformats.org/officeDocument/2006/relationships/hyperlink" Target="https://help.salesforce.com/s/articleView?id=service.voice_omni_unified_routing.htm&amp;language=en_US" TargetMode="External"/><Relationship Id="rId33" Type="http://schemas.openxmlformats.org/officeDocument/2006/relationships/hyperlink" Target="https://help.salesforce.com/s/articleView?id=service.omnichannel_route_to_ai_agent_target.htm&amp;language=en_US&amp;type=5" TargetMode="External"/><Relationship Id="rId34" Type="http://schemas.openxmlformats.org/officeDocument/2006/relationships/hyperlink" Target="https://help.salesforce.com/s/articleView?id=data.c360_a_data_cloud.htm&amp;language=en_US" TargetMode="External"/><Relationship Id="rId35" Type="http://schemas.openxmlformats.org/officeDocument/2006/relationships/hyperlink" Target="https://help.salesforce.com/s/articleView?id=xcloud.base_manage_your_compliance.htm&amp;language=en_US&amp;type=5" TargetMode="External"/><Relationship Id="rId36" Type="http://schemas.openxmlformats.org/officeDocument/2006/relationships/hyperlink" Target="https://www.zoho.com/desk/omnichannel-customer-service.html" TargetMode="External"/><Relationship Id="rId37" Type="http://schemas.openxmlformats.org/officeDocument/2006/relationships/hyperlink" Target="https://help.zoho.com/portal/en/kb/desk/automation/assignment-rules-notification/articles/assigning-tickets-using-workflows-assignment-rule" TargetMode="External"/><Relationship Id="rId38" Type="http://schemas.openxmlformats.org/officeDocument/2006/relationships/hyperlink" Target="https://help.zoho.com/portal/en/kb/desk/zia/overview/articles/understanding-zia-s-capabilities" TargetMode="External"/><Relationship Id="rId39" Type="http://schemas.openxmlformats.org/officeDocument/2006/relationships/hyperlink" Target="https://help.zoho.com/portal/en/kb/desk/user-management-and-security/compliance/articles/hipaa-compliance-guide" TargetMode="External"/><Relationship Id="rId40" Type="http://schemas.openxmlformats.org/officeDocument/2006/relationships/hyperlink" Target="https://support.freshdesk.com/support/solutions/articles/50000012004-overview-of-freshdesk-omni-2025-upgrade" TargetMode="External"/><Relationship Id="rId41" Type="http://schemas.openxmlformats.org/officeDocument/2006/relationships/hyperlink" Target="https://support.freshdesk.com/support/solutions/articles/50000011785-getting-started-with-freshdesk-omni" TargetMode="External"/><Relationship Id="rId42" Type="http://schemas.openxmlformats.org/officeDocument/2006/relationships/hyperlink" Target="https://support.freshworks.com/support/solutions/articles/238735-hipaa-configuration-guide" TargetMode="External"/><Relationship Id="rId43" Type="http://schemas.openxmlformats.org/officeDocument/2006/relationships/hyperlink" Target="https://knowledge.hubspot.com/help-desk/route-tickets-in-help-desk" TargetMode="External"/><Relationship Id="rId44" Type="http://schemas.openxmlformats.org/officeDocument/2006/relationships/hyperlink" Target="https://knowledge.hubspot.com/calling/set-up-a-calling-channel-in-help-desk" TargetMode="External"/><Relationship Id="rId45" Type="http://schemas.openxmlformats.org/officeDocument/2006/relationships/hyperlink" Target="https://knowledge.hubspot.com/customer-agent/understand-the-customer-agent" TargetMode="External"/><Relationship Id="rId46" Type="http://schemas.openxmlformats.org/officeDocument/2006/relationships/hyperlink" Target="https://knowledge.hubspot.com/account-security/store-sensitive-data" TargetMode="External"/><Relationship Id="rId47" Type="http://schemas.openxmlformats.org/officeDocument/2006/relationships/hyperlink" Target="https://www.hubspot.com/products/crm/healthcare" TargetMode="External"/><Relationship Id="rId48" Type="http://schemas.openxmlformats.org/officeDocument/2006/relationships/hyperlink" Target="https://help.mypurecloud.com/articles/advanced-routing-overview/" TargetMode="External"/><Relationship Id="rId49" Type="http://schemas.openxmlformats.org/officeDocument/2006/relationships/hyperlink" Target="https://help.mypurecloud.com/articles/about-predictive-routing/" TargetMode="External"/><Relationship Id="rId50" Type="http://schemas.openxmlformats.org/officeDocument/2006/relationships/hyperlink" Target="https://help.mypurecloud.com/articles/create-a-new-genesys-agent-copilot/" TargetMode="External"/><Relationship Id="rId51" Type="http://schemas.openxmlformats.org/officeDocument/2006/relationships/hyperlink" Target="https://help.mypurecloud.com/articles/genesys-agent-copilot-performance-dashboard/" TargetMode="External"/><Relationship Id="rId52" Type="http://schemas.openxmlformats.org/officeDocument/2006/relationships/hyperlink" Target="https://www.genesys.com/trust-center/compliance" TargetMode="External"/><Relationship Id="rId53" Type="http://schemas.openxmlformats.org/officeDocument/2006/relationships/hyperlink" Target="https://help.nice-incontact.com/content/agent/agentapplicationadministration/cxoneagent/faqs.htm" TargetMode="External"/><Relationship Id="rId54" Type="http://schemas.openxmlformats.org/officeDocument/2006/relationships/hyperlink" Target="https://help.nice-incontact.com/content/agent/cxoneagent/enlightencopilotforagentscxa.htm" TargetMode="External"/><Relationship Id="rId55" Type="http://schemas.openxmlformats.org/officeDocument/2006/relationships/hyperlink" Target="https://help.nice-incontact.com/content/platformrequirements/platformavailability.htm" TargetMode="External"/><Relationship Id="rId56" Type="http://schemas.openxmlformats.org/officeDocument/2006/relationships/hyperlink" Target="https://www.nice.com/resources/nice-cxone-security-reliability-pci-compliance" TargetMode="External"/><Relationship Id="rId57" Type="http://schemas.openxmlformats.org/officeDocument/2006/relationships/hyperlink" Target="https://www.nice.com/industries/healthcare" TargetMode="External"/><Relationship Id="rId58" Type="http://schemas.openxmlformats.org/officeDocument/2006/relationships/hyperlink" Target="https://www.twilio.com/docs/flex/admin-guide/core-concepts/routing" TargetMode="External"/><Relationship Id="rId59" Type="http://schemas.openxmlformats.org/officeDocument/2006/relationships/hyperlink" Target="https://www.twilio.com/docs/flex/developer/conversations" TargetMode="External"/><Relationship Id="rId60" Type="http://schemas.openxmlformats.org/officeDocument/2006/relationships/hyperlink" Target="https://www.twilio.com/docs/flex/ai" TargetMode="External"/><Relationship Id="rId61" Type="http://schemas.openxmlformats.org/officeDocument/2006/relationships/hyperlink" Target="https://www.twilio.com/content/dam/twilio-com/global/en/other/hipaa/pdf/Architecting-for-HIPAA.pdf" TargetMode="External"/><Relationship Id="rId62" Type="http://schemas.openxmlformats.org/officeDocument/2006/relationships/hyperlink" Target="https://www.twilio.com/content/dam/twilio-com/global/en/other/hipaa/pdf/HIPAA-Eligible-Services.pdf" TargetMode="External"/><Relationship Id="rId63" Type="http://schemas.openxmlformats.org/officeDocument/2006/relationships/hyperlink" Target="https://www.talkdesk.com/cloud-contact-center/omnichannel-engagement/agent-workspace/" TargetMode="External"/><Relationship Id="rId64" Type="http://schemas.openxmlformats.org/officeDocument/2006/relationships/hyperlink" Target="https://support.talkdesk.com/hc/en-us/articles/4416787592731-Talkdesk-Digital-Engagement-FAQ" TargetMode="External"/><Relationship Id="rId65" Type="http://schemas.openxmlformats.org/officeDocument/2006/relationships/hyperlink" Target="https://support.talkdesk.com/hc/en-us/articles/360045123011-Copilot-Overview" TargetMode="External"/><Relationship Id="rId66" Type="http://schemas.openxmlformats.org/officeDocument/2006/relationships/hyperlink" Target="https://support.talkdesk.com/hc/en-us/articles/16761287647259-Copilot-Automatic-Summarization-Agent-Next-Steps-and-Disposition" TargetMode="External"/><Relationship Id="rId67" Type="http://schemas.openxmlformats.org/officeDocument/2006/relationships/hyperlink" Target="https://www.talkdesk.com/call-center-solutions/healthcare/" TargetMode="External"/><Relationship Id="rId68" Type="http://schemas.openxmlformats.org/officeDocument/2006/relationships/hyperlink" Target="https://help.front.com/en/articles/3889728" TargetMode="External"/><Relationship Id="rId69" Type="http://schemas.openxmlformats.org/officeDocument/2006/relationships/hyperlink" Target="https://help.front.com/en/articles/2120" TargetMode="External"/><Relationship Id="rId70" Type="http://schemas.openxmlformats.org/officeDocument/2006/relationships/hyperlink" Target="https://help.front.com/en/articles/2105" TargetMode="External"/><Relationship Id="rId71" Type="http://schemas.openxmlformats.org/officeDocument/2006/relationships/hyperlink" Target="https://help.front.com/en/articles/1164608" TargetMode="External"/><Relationship Id="rId72" Type="http://schemas.openxmlformats.org/officeDocument/2006/relationships/hyperlink" Target="https://help.front.com/en/articles/3553088" TargetMode="External"/><Relationship Id="rId73" Type="http://schemas.openxmlformats.org/officeDocument/2006/relationships/hyperlink" Target="https://help.kustomer.com/en_us/route-kustomer-voice-calls-to-your-team-ByuFCWYEa" TargetMode="External"/><Relationship Id="rId74" Type="http://schemas.openxmlformats.org/officeDocument/2006/relationships/hyperlink" Target="https://help.kustomer.com/kustomer-voice-B1uGhF9Ti" TargetMode="External"/><Relationship Id="rId75" Type="http://schemas.openxmlformats.org/officeDocument/2006/relationships/hyperlink" Target="https://help.kustomer.com/en_us/set-up-voice-assistant-rJNZl9DUp" TargetMode="External"/><Relationship Id="rId76" Type="http://schemas.openxmlformats.org/officeDocument/2006/relationships/hyperlink" Target="https://help.kustomer.com/en_us/routing-kustomer-voice-calls-by-customer-attribute-HkHCZF71zg" TargetMode="External"/><Relationship Id="rId77" Type="http://schemas.openxmlformats.org/officeDocument/2006/relationships/hyperlink" Target="https://help.kustomer.com/en_us/classification-model-in-routing-B12i6Iu_v" TargetMode="External"/><Relationship Id="rId78" Type="http://schemas.openxmlformats.org/officeDocument/2006/relationships/hyperlink" Target="https://respond.io/help/inbox/getting-started-with-inbox" TargetMode="External"/><Relationship Id="rId79" Type="http://schemas.openxmlformats.org/officeDocument/2006/relationships/hyperlink" Target="https://respond.io/help/inbox/managing-calls-in-inbox" TargetMode="External"/><Relationship Id="rId80" Type="http://schemas.openxmlformats.org/officeDocument/2006/relationships/hyperlink" Target="https://respond.io/help/inbox/assigning-and-closing-a-conversation" TargetMode="External"/><Relationship Id="rId81" Type="http://schemas.openxmlformats.org/officeDocument/2006/relationships/hyperlink" Target="https://respond.io/help/inbox/managing-conversations-in-inbox" TargetMode="External"/><Relationship Id="rId82" Type="http://schemas.openxmlformats.org/officeDocument/2006/relationships/hyperlink" Target="https://respond.io/help/quick-start/responding-to-messages" TargetMode="External"/><Relationship Id="rId83" Type="http://schemas.openxmlformats.org/officeDocument/2006/relationships/hyperlink" Target="https://help.sleekflow.io/en_US/getting-started/welcome-to-sleekflow" TargetMode="External"/><Relationship Id="rId84" Type="http://schemas.openxmlformats.org/officeDocument/2006/relationships/hyperlink" Target="https://help.sleekflow.io/en_US/manage-and-assign-new-contacts-using-agentflow" TargetMode="External"/><Relationship Id="rId85" Type="http://schemas.openxmlformats.org/officeDocument/2006/relationships/hyperlink" Target="https://sleekflow.io/inbox" TargetMode="External"/><Relationship Id="rId86" Type="http://schemas.openxmlformats.org/officeDocument/2006/relationships/hyperlink" Target="https://help.sleekflow.io/en_US/view-ai-message%E2%80%99s-execution-trace-in-inbox" TargetMode="External"/><Relationship Id="rId87" Type="http://schemas.openxmlformats.org/officeDocument/2006/relationships/hyperlink" Target="https://sleekflow.helpjuice.com/en_US/sleekflow_ai" TargetMode="External"/><Relationship Id="rId88" Type="http://schemas.openxmlformats.org/officeDocument/2006/relationships/hyperlink" Target="https://oa.zalo.me/home/resources/library/cham-soc-khach-hang-hieu-qua-voi-nhan-tin-va-goi-thoai_729563123387551711" TargetMode="External"/><Relationship Id="rId89" Type="http://schemas.openxmlformats.org/officeDocument/2006/relationships/hyperlink" Target="https://oa.zalo.me/home/function/extension" TargetMode="External"/><Relationship Id="rId90" Type="http://schemas.openxmlformats.org/officeDocument/2006/relationships/hyperlink" Target="https://oa.zalo.me/home/resources/library/toi-uu-quy-trinh-cham-soc-khach-hang-tren-zalo-oa_6458345622407562285" TargetMode="External"/><Relationship Id="rId91" Type="http://schemas.openxmlformats.org/officeDocument/2006/relationships/hyperlink" Target="https://oa.zalo.me/home/call" TargetMode="External"/><Relationship Id="rId92" Type="http://schemas.openxmlformats.org/officeDocument/2006/relationships/hyperlink" Target="https://oa.zalo.me/home/resources/library/tu-dong-hoa-cham-soc-khach-hang-voi-zalo-chatbot_63520333399707021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Health19 Care Command Center — competitor study and implementation prompt</dc:title>
  <dc:subject>Omnichannel healthcare CRM, contact centre, UX and AI implementation brief</dc:subject>
  <dc:creator>Health19 product research</dc:creator>
  <cp:keywords>Health19, Odoo 19, omnichannel, CRM, contact centre, Zalo, VoIP, healthcare, AI</cp:keywords>
  <dc:description>generated by python-docx</dc:description>
  <cp:lastModifiedBy/>
  <cp:revision>1</cp:revision>
  <dcterms:created xsi:type="dcterms:W3CDTF">2013-12-23T23:15:00Z</dcterms:created>
  <dcterms:modified xsi:type="dcterms:W3CDTF">2013-12-23T23:15:00Z</dcterms:modified>
  <cp:category/>
</cp:coreProperties>
</file>