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82DC2" w14:textId="755F7ABB" w:rsidR="00326D70" w:rsidRDefault="00F80A61">
      <w:r>
        <w:t>States that have a difference from Giroud:</w:t>
      </w:r>
    </w:p>
    <w:p w14:paraId="37E96ADD" w14:textId="77777777" w:rsidR="00F80A61" w:rsidRDefault="00F80A61"/>
    <w:p w14:paraId="1BA5401D" w14:textId="20D5CD8F" w:rsidR="00F80A61" w:rsidRDefault="00F80A61" w:rsidP="00F80A61">
      <w:pPr>
        <w:pStyle w:val="ListParagraph"/>
        <w:numPr>
          <w:ilvl w:val="0"/>
          <w:numId w:val="1"/>
        </w:numPr>
      </w:pPr>
      <w:r>
        <w:t>Arizona- I was off, enacted vs effective.</w:t>
      </w:r>
    </w:p>
    <w:p w14:paraId="1A63BBFD" w14:textId="7881F6B1" w:rsidR="00F80A61" w:rsidRDefault="00F80A61" w:rsidP="00F80A61">
      <w:pPr>
        <w:pStyle w:val="ListParagraph"/>
        <w:numPr>
          <w:ilvl w:val="0"/>
          <w:numId w:val="1"/>
        </w:numPr>
      </w:pPr>
      <w:r>
        <w:t>Idaho- come back</w:t>
      </w:r>
    </w:p>
    <w:p w14:paraId="703BE3B7" w14:textId="7C0B7B8D" w:rsidR="00F80A61" w:rsidRDefault="00CA1AC7" w:rsidP="00CA1AC7">
      <w:pPr>
        <w:pStyle w:val="ListParagraph"/>
        <w:numPr>
          <w:ilvl w:val="1"/>
          <w:numId w:val="1"/>
        </w:numPr>
      </w:pPr>
      <w:r>
        <w:t xml:space="preserve">Fairly certain, answer is in </w:t>
      </w:r>
      <w:hyperlink r:id="rId5" w:history="1">
        <w:r w:rsidRPr="00CA1AC7">
          <w:rPr>
            <w:rStyle w:val="Hyperlink"/>
          </w:rPr>
          <w:t>here</w:t>
        </w:r>
      </w:hyperlink>
      <w:r>
        <w:t>.</w:t>
      </w:r>
    </w:p>
    <w:p w14:paraId="7FCDD626" w14:textId="0F8DFB45" w:rsidR="00CA1AC7" w:rsidRDefault="00CA1AC7" w:rsidP="00CA1AC7">
      <w:pPr>
        <w:pStyle w:val="ListParagraph"/>
        <w:numPr>
          <w:ilvl w:val="1"/>
          <w:numId w:val="1"/>
        </w:numPr>
      </w:pPr>
      <w:r>
        <w:t xml:space="preserve">Other possible sources: </w:t>
      </w:r>
      <w:hyperlink r:id="rId6" w:history="1">
        <w:r w:rsidRPr="0003124D">
          <w:rPr>
            <w:rStyle w:val="Hyperlink"/>
          </w:rPr>
          <w:t>https://legislature.idaho.gov/statutesrules/idstat/title63/t63ch30/sect63-3027/</w:t>
        </w:r>
      </w:hyperlink>
    </w:p>
    <w:p w14:paraId="1E6E496E" w14:textId="7974C5B0" w:rsidR="00CA1AC7" w:rsidRDefault="00000000" w:rsidP="00CA1AC7">
      <w:pPr>
        <w:pStyle w:val="ListParagraph"/>
        <w:numPr>
          <w:ilvl w:val="1"/>
          <w:numId w:val="1"/>
        </w:numPr>
      </w:pPr>
      <w:hyperlink r:id="rId7" w:anchor=":~:text=If%20the%20physical%20location%20of,or%20royalty%20payer%20obtained%20possession" w:history="1">
        <w:r w:rsidR="00CA1AC7" w:rsidRPr="0003124D">
          <w:rPr>
            <w:rStyle w:val="Hyperlink"/>
          </w:rPr>
          <w:t>https://legislature.idaho.gov/statutesrules/idstat/title63/t63ch30/sect63-3027/#:~:text=If%20the%20physical%20location%20of,or%20royalty%20payer%20obtained%20possession</w:t>
        </w:r>
      </w:hyperlink>
      <w:r w:rsidR="00CA1AC7" w:rsidRPr="00CA1AC7">
        <w:t>.</w:t>
      </w:r>
    </w:p>
    <w:p w14:paraId="3CA071F3" w14:textId="77777777" w:rsidR="00CA1AC7" w:rsidRDefault="00CA1AC7" w:rsidP="00CA1AC7">
      <w:pPr>
        <w:pStyle w:val="ListParagraph"/>
        <w:ind w:left="1440"/>
      </w:pPr>
    </w:p>
    <w:p w14:paraId="7104800E" w14:textId="183C6916" w:rsidR="00F80A61" w:rsidRDefault="00F80A61" w:rsidP="00F80A61">
      <w:pPr>
        <w:pStyle w:val="ListParagraph"/>
        <w:numPr>
          <w:ilvl w:val="0"/>
          <w:numId w:val="1"/>
        </w:numPr>
      </w:pPr>
      <w:r>
        <w:t>Illinois</w:t>
      </w:r>
    </w:p>
    <w:p w14:paraId="2C248CCC" w14:textId="4AEB2359" w:rsidR="00CA1AC7" w:rsidRDefault="00B9344A" w:rsidP="00CA1AC7">
      <w:pPr>
        <w:pStyle w:val="ListParagraph"/>
        <w:numPr>
          <w:ilvl w:val="1"/>
          <w:numId w:val="1"/>
        </w:numPr>
      </w:pPr>
      <w:r>
        <w:t xml:space="preserve">In Bloomberg Tax, the apportionment formula weight for </w:t>
      </w:r>
      <w:r w:rsidR="002C0480">
        <w:t>2000 is 83.33% for sales, 8.33% for payroll and property.</w:t>
      </w:r>
    </w:p>
    <w:p w14:paraId="5F8570A5" w14:textId="7D9C65BD" w:rsidR="002C0480" w:rsidRDefault="002C0480" w:rsidP="00CA1AC7">
      <w:pPr>
        <w:pStyle w:val="ListParagraph"/>
        <w:numPr>
          <w:ilvl w:val="1"/>
          <w:numId w:val="1"/>
        </w:numPr>
      </w:pPr>
      <w:r>
        <w:t>For 1999, it is 66.66% for sales,</w:t>
      </w:r>
      <w:r w:rsidR="007C0DE8">
        <w:t xml:space="preserve"> </w:t>
      </w:r>
      <w:r w:rsidR="00461846">
        <w:t xml:space="preserve">16.66% for payroll and property.  </w:t>
      </w:r>
    </w:p>
    <w:p w14:paraId="0B96B406" w14:textId="497E7BBD" w:rsidR="00461846" w:rsidRDefault="00461846" w:rsidP="00CA1AC7">
      <w:pPr>
        <w:pStyle w:val="ListParagraph"/>
        <w:numPr>
          <w:ilvl w:val="1"/>
          <w:numId w:val="1"/>
        </w:numPr>
      </w:pPr>
      <w:r>
        <w:t>The state switched from DWS, so keeping 50% for 1998 is accurate.</w:t>
      </w:r>
      <w:r w:rsidR="0005736F">
        <w:t xml:space="preserve">  This is verified </w:t>
      </w:r>
      <w:hyperlink r:id="rId8" w:history="1">
        <w:r w:rsidR="0005736F" w:rsidRPr="0005736F">
          <w:rPr>
            <w:rStyle w:val="Hyperlink"/>
          </w:rPr>
          <w:t>via</w:t>
        </w:r>
      </w:hyperlink>
      <w:r w:rsidR="0005736F">
        <w:t xml:space="preserve"> Illinois General Assembly.</w:t>
      </w:r>
    </w:p>
    <w:p w14:paraId="26A97BF2" w14:textId="77777777" w:rsidR="00055919" w:rsidRDefault="00F80A61" w:rsidP="00055919">
      <w:pPr>
        <w:pStyle w:val="ListParagraph"/>
        <w:numPr>
          <w:ilvl w:val="0"/>
          <w:numId w:val="1"/>
        </w:numPr>
      </w:pPr>
      <w:r>
        <w:t>Indiana</w:t>
      </w:r>
    </w:p>
    <w:p w14:paraId="6F182705" w14:textId="77777777" w:rsidR="002A5E99" w:rsidRDefault="002A5E99" w:rsidP="00055919">
      <w:pPr>
        <w:pStyle w:val="ListParagraph"/>
        <w:numPr>
          <w:ilvl w:val="1"/>
          <w:numId w:val="1"/>
        </w:numPr>
      </w:pPr>
      <w:r>
        <w:t>Prior to 1999, according to BL Tax, Indiana used DWS.</w:t>
      </w:r>
    </w:p>
    <w:p w14:paraId="1F1FB0F3" w14:textId="77777777" w:rsidR="00414EE3" w:rsidRDefault="002A5E99" w:rsidP="00055919">
      <w:pPr>
        <w:pStyle w:val="ListParagraph"/>
        <w:numPr>
          <w:ilvl w:val="1"/>
          <w:numId w:val="1"/>
        </w:numPr>
      </w:pPr>
      <w:r>
        <w:t xml:space="preserve">Deskin </w:t>
      </w:r>
      <w:r w:rsidR="00414EE3">
        <w:t xml:space="preserve">indicates that Indiana switched to DWS in 2000. </w:t>
      </w:r>
    </w:p>
    <w:p w14:paraId="17FADC74" w14:textId="77777777" w:rsidR="008F0909" w:rsidRDefault="00414EE3" w:rsidP="00055919">
      <w:pPr>
        <w:pStyle w:val="ListParagraph"/>
        <w:numPr>
          <w:ilvl w:val="1"/>
          <w:numId w:val="1"/>
        </w:numPr>
      </w:pPr>
      <w:r>
        <w:t>Giroud contends change occurred in 1996.</w:t>
      </w:r>
      <w:r w:rsidR="008F0909">
        <w:t xml:space="preserve"> </w:t>
      </w:r>
    </w:p>
    <w:p w14:paraId="534FA251" w14:textId="77777777" w:rsidR="004A34DB" w:rsidRDefault="008F0909" w:rsidP="00055919">
      <w:pPr>
        <w:pStyle w:val="ListParagraph"/>
        <w:numPr>
          <w:ilvl w:val="1"/>
          <w:numId w:val="1"/>
        </w:numPr>
      </w:pPr>
      <w:r>
        <w:t xml:space="preserve">In 1998 and 1999, </w:t>
      </w:r>
      <w:hyperlink r:id="rId9" w:anchor="jcite" w:history="1">
        <w:r w:rsidRPr="008F0909">
          <w:rPr>
            <w:rStyle w:val="Hyperlink"/>
          </w:rPr>
          <w:t>according</w:t>
        </w:r>
      </w:hyperlink>
      <w:r>
        <w:t xml:space="preserve"> to BL Tax, DWS.</w:t>
      </w:r>
    </w:p>
    <w:p w14:paraId="0AA6225B" w14:textId="77777777" w:rsidR="00F16C0F" w:rsidRDefault="00F16C0F" w:rsidP="00055919">
      <w:pPr>
        <w:pStyle w:val="ListParagraph"/>
        <w:numPr>
          <w:ilvl w:val="1"/>
          <w:numId w:val="1"/>
        </w:numPr>
      </w:pPr>
      <w:r>
        <w:t>Given Deskins was off for those two years, I will infer Giroud is correct through 1996.</w:t>
      </w:r>
    </w:p>
    <w:p w14:paraId="48377BB4" w14:textId="4F765BA1" w:rsidR="00F80A61" w:rsidRDefault="00055919" w:rsidP="00C76F67">
      <w:pPr>
        <w:pStyle w:val="ListParagraph"/>
        <w:ind w:left="1440"/>
      </w:pPr>
      <w:r>
        <w:br/>
      </w:r>
    </w:p>
    <w:p w14:paraId="58CE8535" w14:textId="64DF4D6F" w:rsidR="00F80A61" w:rsidRDefault="00F80A61" w:rsidP="00F80A61">
      <w:pPr>
        <w:pStyle w:val="ListParagraph"/>
        <w:numPr>
          <w:ilvl w:val="0"/>
          <w:numId w:val="1"/>
        </w:numPr>
      </w:pPr>
      <w:r>
        <w:t>Louisiana</w:t>
      </w:r>
    </w:p>
    <w:p w14:paraId="7E00F2DB" w14:textId="22CA51CB" w:rsidR="00890162" w:rsidRDefault="009F5B71" w:rsidP="00890162">
      <w:pPr>
        <w:pStyle w:val="ListParagraph"/>
        <w:numPr>
          <w:ilvl w:val="1"/>
          <w:numId w:val="1"/>
        </w:numPr>
      </w:pPr>
      <w:r>
        <w:t xml:space="preserve">There is a disagreement on what Louisiana’s general formula is.  </w:t>
      </w:r>
    </w:p>
    <w:p w14:paraId="7DDADA0F" w14:textId="017F8F22" w:rsidR="009F5B71" w:rsidRDefault="009F5B71" w:rsidP="00890162">
      <w:pPr>
        <w:pStyle w:val="ListParagraph"/>
        <w:numPr>
          <w:ilvl w:val="1"/>
          <w:numId w:val="1"/>
        </w:numPr>
      </w:pPr>
      <w:r>
        <w:t xml:space="preserve">It should be noted, they </w:t>
      </w:r>
      <w:r w:rsidR="00634392">
        <w:t xml:space="preserve">have </w:t>
      </w:r>
      <w:r>
        <w:t>a different formula for Oil and Gas companies</w:t>
      </w:r>
      <w:r w:rsidR="008465C4">
        <w:t>.</w:t>
      </w:r>
    </w:p>
    <w:p w14:paraId="1B5CD9B1" w14:textId="3655C771" w:rsidR="00FF6C4C" w:rsidRDefault="00584A95" w:rsidP="00890162">
      <w:pPr>
        <w:pStyle w:val="ListParagraph"/>
        <w:numPr>
          <w:ilvl w:val="1"/>
          <w:numId w:val="1"/>
        </w:numPr>
      </w:pPr>
      <w:r>
        <w:t xml:space="preserve">Giroud documents that the state switched to DWS, 1997-2005. </w:t>
      </w:r>
      <w:r w:rsidR="00FF6E7E">
        <w:t xml:space="preserve">Between 2006 and </w:t>
      </w:r>
      <w:r w:rsidR="002A2F1A">
        <w:t xml:space="preserve">2012, they had the single sales formula. </w:t>
      </w:r>
    </w:p>
    <w:p w14:paraId="55E0EFEA" w14:textId="20CBCDFB" w:rsidR="002A2F1A" w:rsidRDefault="00124F58" w:rsidP="00890162">
      <w:pPr>
        <w:pStyle w:val="ListParagraph"/>
        <w:numPr>
          <w:ilvl w:val="1"/>
          <w:numId w:val="1"/>
        </w:numPr>
      </w:pPr>
      <w:r>
        <w:t>Deskins corroborates the switch from three factor to DWS in 1997. Therefore,</w:t>
      </w:r>
      <w:r w:rsidR="00B622B6">
        <w:t xml:space="preserve"> I’ll agree to DWS finding.</w:t>
      </w:r>
    </w:p>
    <w:p w14:paraId="429F7244" w14:textId="093AA7A3" w:rsidR="00E27804" w:rsidRDefault="00E27804" w:rsidP="00890162">
      <w:pPr>
        <w:pStyle w:val="ListParagraph"/>
        <w:numPr>
          <w:ilvl w:val="1"/>
          <w:numId w:val="1"/>
        </w:numPr>
      </w:pPr>
      <w:r>
        <w:t xml:space="preserve">Still fairly certain don’t make the switch to SSFA </w:t>
      </w:r>
      <w:hyperlink r:id="rId10" w:history="1">
        <w:r w:rsidRPr="00E27804">
          <w:rPr>
            <w:rStyle w:val="Hyperlink"/>
          </w:rPr>
          <w:t>until</w:t>
        </w:r>
      </w:hyperlink>
      <w:r>
        <w:t xml:space="preserve"> 2016.  Therefore, I will take his DWS assessment as given, but until given further evidence, won’t change the 2006 -2015 to SSFA.</w:t>
      </w:r>
    </w:p>
    <w:p w14:paraId="5785DC1E" w14:textId="2E8412BB" w:rsidR="00F80A61" w:rsidRDefault="00F80A61" w:rsidP="00F80A61">
      <w:pPr>
        <w:pStyle w:val="ListParagraph"/>
        <w:numPr>
          <w:ilvl w:val="0"/>
          <w:numId w:val="1"/>
        </w:numPr>
      </w:pPr>
      <w:r>
        <w:t>Michigan</w:t>
      </w:r>
    </w:p>
    <w:p w14:paraId="463379EC" w14:textId="3375DEE0" w:rsidR="00D826B8" w:rsidRDefault="00D826B8" w:rsidP="00D826B8">
      <w:pPr>
        <w:pStyle w:val="ListParagraph"/>
        <w:numPr>
          <w:ilvl w:val="1"/>
          <w:numId w:val="1"/>
        </w:numPr>
      </w:pPr>
      <w:r>
        <w:t>He was off. Cited.</w:t>
      </w:r>
    </w:p>
    <w:p w14:paraId="7E700A3A" w14:textId="7B7AD2FF" w:rsidR="00F80A61" w:rsidRDefault="00F80A61" w:rsidP="00F80A61">
      <w:pPr>
        <w:pStyle w:val="ListParagraph"/>
        <w:numPr>
          <w:ilvl w:val="0"/>
          <w:numId w:val="1"/>
        </w:numPr>
      </w:pPr>
      <w:r>
        <w:t>Minnesota</w:t>
      </w:r>
    </w:p>
    <w:p w14:paraId="6DBDF738" w14:textId="1B7F93DE" w:rsidR="00D826B8" w:rsidRDefault="00D826B8" w:rsidP="00D826B8">
      <w:pPr>
        <w:pStyle w:val="ListParagraph"/>
        <w:numPr>
          <w:ilvl w:val="1"/>
          <w:numId w:val="1"/>
        </w:numPr>
      </w:pPr>
      <w:r>
        <w:t>He was off, cited Bloomberg tax.</w:t>
      </w:r>
    </w:p>
    <w:p w14:paraId="64D46ED2" w14:textId="699CD6EE" w:rsidR="00F80A61" w:rsidRDefault="00F80A61" w:rsidP="00F80A61">
      <w:pPr>
        <w:pStyle w:val="ListParagraph"/>
        <w:numPr>
          <w:ilvl w:val="0"/>
          <w:numId w:val="1"/>
        </w:numPr>
      </w:pPr>
      <w:r>
        <w:t>Mississippi</w:t>
      </w:r>
    </w:p>
    <w:p w14:paraId="4567F0B4" w14:textId="69A5F3E8" w:rsidR="00D826B8" w:rsidRDefault="00D826B8" w:rsidP="00D826B8">
      <w:pPr>
        <w:pStyle w:val="ListParagraph"/>
        <w:numPr>
          <w:ilvl w:val="1"/>
          <w:numId w:val="1"/>
        </w:numPr>
      </w:pPr>
      <w:r>
        <w:t>No default formula listed in Bloomberg Tax.  Giroud has 1/3 from 2004-2012, the whole time.  I have a switch to SSFA in 2004, looking for source.</w:t>
      </w:r>
    </w:p>
    <w:p w14:paraId="2E8A53CF" w14:textId="16622F21" w:rsidR="00921ADD" w:rsidRDefault="00921ADD" w:rsidP="00D826B8">
      <w:pPr>
        <w:pStyle w:val="ListParagraph"/>
        <w:numPr>
          <w:ilvl w:val="1"/>
          <w:numId w:val="1"/>
        </w:numPr>
      </w:pPr>
      <w:r>
        <w:t xml:space="preserve">Deskins lists MS increased sales factor weight in 2004.  </w:t>
      </w:r>
    </w:p>
    <w:p w14:paraId="132DD841" w14:textId="6F46269A" w:rsidR="00635EE0" w:rsidRDefault="00635EE0" w:rsidP="00D826B8">
      <w:pPr>
        <w:pStyle w:val="ListParagraph"/>
        <w:numPr>
          <w:ilvl w:val="1"/>
          <w:numId w:val="1"/>
        </w:numPr>
      </w:pPr>
      <w:r>
        <w:lastRenderedPageBreak/>
        <w:t>Bloomberg Tax indicates that if there is no industry specific formula, then the SSFA formula is required.  Coupling this with Deskins,</w:t>
      </w:r>
      <w:r w:rsidR="00BC0561">
        <w:t xml:space="preserve"> the default formula is SSFA from 2004 onwards.</w:t>
      </w:r>
    </w:p>
    <w:p w14:paraId="10BFC6A5" w14:textId="03B5E871" w:rsidR="00F80A61" w:rsidRDefault="00F80A61" w:rsidP="00F80A61">
      <w:pPr>
        <w:pStyle w:val="ListParagraph"/>
        <w:numPr>
          <w:ilvl w:val="0"/>
          <w:numId w:val="1"/>
        </w:numPr>
      </w:pPr>
      <w:r>
        <w:t>Missouri</w:t>
      </w:r>
    </w:p>
    <w:p w14:paraId="51A41BDE" w14:textId="6D58D781" w:rsidR="00BC0561" w:rsidRDefault="0085214D" w:rsidP="00BC0561">
      <w:pPr>
        <w:pStyle w:val="ListParagraph"/>
        <w:numPr>
          <w:ilvl w:val="1"/>
          <w:numId w:val="1"/>
        </w:numPr>
      </w:pPr>
      <w:r>
        <w:t>According to BL Tax, SSFA is elective</w:t>
      </w:r>
      <w:r w:rsidR="00807507">
        <w:t xml:space="preserve"> from 1999 onwards.  He kept it as 1/3. </w:t>
      </w:r>
    </w:p>
    <w:p w14:paraId="28907447" w14:textId="6DC3B4C1" w:rsidR="00F80A61" w:rsidRDefault="00F80A61" w:rsidP="00F80A61">
      <w:pPr>
        <w:pStyle w:val="ListParagraph"/>
        <w:numPr>
          <w:ilvl w:val="0"/>
          <w:numId w:val="1"/>
        </w:numPr>
      </w:pPr>
      <w:r>
        <w:t>Nebraska</w:t>
      </w:r>
    </w:p>
    <w:p w14:paraId="7FF147CA" w14:textId="30170577" w:rsidR="003C3651" w:rsidRDefault="007F79E8" w:rsidP="003C3651">
      <w:pPr>
        <w:pStyle w:val="ListParagraph"/>
        <w:numPr>
          <w:ilvl w:val="1"/>
          <w:numId w:val="1"/>
        </w:numPr>
      </w:pPr>
      <w:r>
        <w:t>Same</w:t>
      </w:r>
      <w:r w:rsidR="003A71D1">
        <w:t>, rounded to tenth.</w:t>
      </w:r>
    </w:p>
    <w:p w14:paraId="267B211C" w14:textId="002C1E8A" w:rsidR="00F80A61" w:rsidRDefault="00F80A61" w:rsidP="00F80A61">
      <w:pPr>
        <w:pStyle w:val="ListParagraph"/>
        <w:numPr>
          <w:ilvl w:val="0"/>
          <w:numId w:val="1"/>
        </w:numPr>
      </w:pPr>
      <w:r>
        <w:t>New Jersey</w:t>
      </w:r>
    </w:p>
    <w:p w14:paraId="627D8168" w14:textId="3261CAFD" w:rsidR="003A71D1" w:rsidRPr="003F5072" w:rsidRDefault="006073A0" w:rsidP="003A71D1">
      <w:pPr>
        <w:pStyle w:val="ListParagraph"/>
        <w:numPr>
          <w:ilvl w:val="1"/>
          <w:numId w:val="1"/>
        </w:numPr>
      </w:pPr>
      <w:r>
        <w:rPr>
          <w:rFonts w:ascii="Times New Roman" w:hAnsi="Times New Roman" w:cs="Times New Roman"/>
        </w:rPr>
        <w:t>Deskins corroborates this from a footnote in BL Tax, but Giroud has the switch occurring in 2000.</w:t>
      </w:r>
      <w:r w:rsidRPr="00D808DC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I will keep the </w:t>
      </w:r>
      <w:r w:rsidR="003F5072">
        <w:rPr>
          <w:rFonts w:ascii="Times New Roman" w:hAnsi="Times New Roman" w:cs="Times New Roman"/>
        </w:rPr>
        <w:t>Footnote plus BL Tax.</w:t>
      </w:r>
    </w:p>
    <w:p w14:paraId="7CC684CC" w14:textId="0FAF3F5A" w:rsidR="003F5072" w:rsidRDefault="008007CA" w:rsidP="008007CA">
      <w:pPr>
        <w:pStyle w:val="ListParagraph"/>
        <w:numPr>
          <w:ilvl w:val="0"/>
          <w:numId w:val="1"/>
        </w:numPr>
      </w:pPr>
      <w:r>
        <w:t>New York</w:t>
      </w:r>
    </w:p>
    <w:p w14:paraId="01DF8E9B" w14:textId="255E055E" w:rsidR="003F09FA" w:rsidRDefault="008007CA" w:rsidP="003F09FA">
      <w:pPr>
        <w:pStyle w:val="ListParagraph"/>
        <w:numPr>
          <w:ilvl w:val="1"/>
          <w:numId w:val="1"/>
        </w:numPr>
      </w:pPr>
      <w:r>
        <w:t xml:space="preserve">I’ll keep </w:t>
      </w:r>
      <w:proofErr w:type="gramStart"/>
      <w:r>
        <w:t>my the</w:t>
      </w:r>
      <w:proofErr w:type="gramEnd"/>
      <w:r>
        <w:t xml:space="preserve"> phase in of the New York Business tax</w:t>
      </w:r>
      <w:r w:rsidR="003F09FA">
        <w:t xml:space="preserve"> from BL Tax over Giroud.</w:t>
      </w:r>
    </w:p>
    <w:p w14:paraId="1CB7D9FD" w14:textId="586DDF00" w:rsidR="003F09FA" w:rsidRDefault="003F09FA" w:rsidP="003F09FA">
      <w:pPr>
        <w:pStyle w:val="ListParagraph"/>
        <w:numPr>
          <w:ilvl w:val="0"/>
          <w:numId w:val="1"/>
        </w:numPr>
      </w:pPr>
      <w:r>
        <w:t>Ohio</w:t>
      </w:r>
    </w:p>
    <w:p w14:paraId="43625C5F" w14:textId="1B3DC1B5" w:rsidR="003F09FA" w:rsidRDefault="007747DB" w:rsidP="003F09FA">
      <w:pPr>
        <w:pStyle w:val="ListParagraph"/>
        <w:numPr>
          <w:ilvl w:val="1"/>
          <w:numId w:val="1"/>
        </w:numPr>
      </w:pPr>
      <w:r>
        <w:t>Agree with Giroud. I got enactment vs year wrong.</w:t>
      </w:r>
    </w:p>
    <w:p w14:paraId="0EA63CF4" w14:textId="45423575" w:rsidR="00D4202C" w:rsidRDefault="00D4202C" w:rsidP="00D4202C">
      <w:pPr>
        <w:pStyle w:val="ListParagraph"/>
        <w:numPr>
          <w:ilvl w:val="0"/>
          <w:numId w:val="1"/>
        </w:numPr>
      </w:pPr>
      <w:r>
        <w:t>Pennsylvania-</w:t>
      </w:r>
    </w:p>
    <w:p w14:paraId="440E812D" w14:textId="0BE525E8" w:rsidR="00D4202C" w:rsidRDefault="00D93617" w:rsidP="00D4202C">
      <w:pPr>
        <w:pStyle w:val="ListParagraph"/>
        <w:numPr>
          <w:ilvl w:val="1"/>
          <w:numId w:val="1"/>
        </w:numPr>
      </w:pPr>
      <w:r>
        <w:t xml:space="preserve">I assumed from Deskins they made direct jump to 60. Taking </w:t>
      </w:r>
      <w:proofErr w:type="spellStart"/>
      <w:r>
        <w:t>Girouds</w:t>
      </w:r>
      <w:proofErr w:type="spellEnd"/>
      <w:r>
        <w:t xml:space="preserve"> numbers.</w:t>
      </w:r>
    </w:p>
    <w:p w14:paraId="26839E2F" w14:textId="4F88E867" w:rsidR="00D93617" w:rsidRDefault="00D93617" w:rsidP="00D93617">
      <w:pPr>
        <w:pStyle w:val="ListParagraph"/>
        <w:numPr>
          <w:ilvl w:val="0"/>
          <w:numId w:val="1"/>
        </w:numPr>
      </w:pPr>
      <w:r>
        <w:t>South Carolina</w:t>
      </w:r>
    </w:p>
    <w:p w14:paraId="44EDE32A" w14:textId="446F13FF" w:rsidR="00D93617" w:rsidRDefault="00D93617" w:rsidP="00D93617">
      <w:pPr>
        <w:pStyle w:val="ListParagraph"/>
        <w:numPr>
          <w:ilvl w:val="1"/>
          <w:numId w:val="1"/>
        </w:numPr>
      </w:pPr>
      <w:r>
        <w:t>Had 1994 off, year of enactment.</w:t>
      </w:r>
    </w:p>
    <w:p w14:paraId="79F8589C" w14:textId="7435D0B1" w:rsidR="00D93617" w:rsidRDefault="00954C02" w:rsidP="00D93617">
      <w:pPr>
        <w:pStyle w:val="ListParagraph"/>
        <w:numPr>
          <w:ilvl w:val="1"/>
          <w:numId w:val="1"/>
        </w:numPr>
      </w:pPr>
      <w:r>
        <w:t xml:space="preserve">Years 2007-2010, there was a max reduction allowable, unless companies had to use three-factor.  Since, the passing of the law is the most relevant, for pattern purposes, will adopt </w:t>
      </w:r>
      <w:proofErr w:type="spellStart"/>
      <w:r>
        <w:t>Girouds</w:t>
      </w:r>
      <w:proofErr w:type="spellEnd"/>
      <w:r>
        <w:t xml:space="preserve"> take on that max reduction.</w:t>
      </w:r>
    </w:p>
    <w:p w14:paraId="7AEBD5C0" w14:textId="4313C5FB" w:rsidR="00954C02" w:rsidRDefault="002F0D57" w:rsidP="00954C02">
      <w:pPr>
        <w:pStyle w:val="ListParagraph"/>
        <w:numPr>
          <w:ilvl w:val="0"/>
          <w:numId w:val="1"/>
        </w:numPr>
      </w:pPr>
      <w:r>
        <w:t>Wisconsin</w:t>
      </w:r>
    </w:p>
    <w:p w14:paraId="3568BDDB" w14:textId="54BD6B27" w:rsidR="002F0D57" w:rsidRDefault="002F0D57" w:rsidP="002F0D57">
      <w:pPr>
        <w:pStyle w:val="ListParagraph"/>
        <w:numPr>
          <w:ilvl w:val="1"/>
          <w:numId w:val="1"/>
        </w:numPr>
      </w:pPr>
      <w:r>
        <w:t xml:space="preserve">Both off one of the numbers via Bloomberg. </w:t>
      </w:r>
    </w:p>
    <w:p w14:paraId="71349AC5" w14:textId="087F5743" w:rsidR="002F0D57" w:rsidRDefault="002F0D57" w:rsidP="002F0D57">
      <w:pPr>
        <w:pStyle w:val="ListParagraph"/>
        <w:numPr>
          <w:ilvl w:val="1"/>
          <w:numId w:val="1"/>
        </w:numPr>
      </w:pPr>
      <w:r>
        <w:t xml:space="preserve">Saved as </w:t>
      </w:r>
      <w:proofErr w:type="spellStart"/>
      <w:r>
        <w:t>My_Wide_App</w:t>
      </w:r>
      <w:proofErr w:type="spellEnd"/>
    </w:p>
    <w:p w14:paraId="6C064C56" w14:textId="10062761" w:rsidR="002F0D57" w:rsidRDefault="002F0D57" w:rsidP="002F0D57">
      <w:pPr>
        <w:pStyle w:val="ListParagraph"/>
        <w:numPr>
          <w:ilvl w:val="1"/>
          <w:numId w:val="1"/>
        </w:numPr>
      </w:pPr>
      <w:r>
        <w:t>Ready to run some images.</w:t>
      </w:r>
    </w:p>
    <w:p w14:paraId="7F93F2F0" w14:textId="77777777" w:rsidR="00F80A61" w:rsidRDefault="00F80A61" w:rsidP="00C544E7">
      <w:pPr>
        <w:ind w:left="1080"/>
      </w:pPr>
    </w:p>
    <w:p w14:paraId="7AD133CD" w14:textId="77777777" w:rsidR="003A71D1" w:rsidRDefault="003A71D1" w:rsidP="00D6623C"/>
    <w:p w14:paraId="5A33ADAB" w14:textId="05FD61C8" w:rsidR="00D6623C" w:rsidRDefault="00D6623C" w:rsidP="00D6623C"/>
    <w:sectPr w:rsidR="00D66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E39D3"/>
    <w:multiLevelType w:val="hybridMultilevel"/>
    <w:tmpl w:val="F160A4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720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61"/>
    <w:rsid w:val="00055919"/>
    <w:rsid w:val="0005736F"/>
    <w:rsid w:val="00124F58"/>
    <w:rsid w:val="001E79AA"/>
    <w:rsid w:val="002A2F1A"/>
    <w:rsid w:val="002A5E99"/>
    <w:rsid w:val="002C0480"/>
    <w:rsid w:val="002F0D57"/>
    <w:rsid w:val="00326D70"/>
    <w:rsid w:val="003A71D1"/>
    <w:rsid w:val="003C3651"/>
    <w:rsid w:val="003F09FA"/>
    <w:rsid w:val="003F5072"/>
    <w:rsid w:val="00414EE3"/>
    <w:rsid w:val="00461846"/>
    <w:rsid w:val="004A34DB"/>
    <w:rsid w:val="00584A95"/>
    <w:rsid w:val="006073A0"/>
    <w:rsid w:val="00634392"/>
    <w:rsid w:val="00635EE0"/>
    <w:rsid w:val="007747DB"/>
    <w:rsid w:val="007C0DE8"/>
    <w:rsid w:val="007F79E8"/>
    <w:rsid w:val="008007CA"/>
    <w:rsid w:val="00807507"/>
    <w:rsid w:val="008465C4"/>
    <w:rsid w:val="0085214D"/>
    <w:rsid w:val="00890162"/>
    <w:rsid w:val="008F0909"/>
    <w:rsid w:val="00921ADD"/>
    <w:rsid w:val="00954C02"/>
    <w:rsid w:val="009F5B71"/>
    <w:rsid w:val="00B622B6"/>
    <w:rsid w:val="00B9344A"/>
    <w:rsid w:val="00BC0561"/>
    <w:rsid w:val="00C544E7"/>
    <w:rsid w:val="00C76F67"/>
    <w:rsid w:val="00CA1AC7"/>
    <w:rsid w:val="00D4202C"/>
    <w:rsid w:val="00D6623C"/>
    <w:rsid w:val="00D826B8"/>
    <w:rsid w:val="00D93617"/>
    <w:rsid w:val="00DE5A63"/>
    <w:rsid w:val="00E27804"/>
    <w:rsid w:val="00F16C0F"/>
    <w:rsid w:val="00F80A61"/>
    <w:rsid w:val="00FC16AA"/>
    <w:rsid w:val="00FF6C4C"/>
    <w:rsid w:val="00FF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D97D5C"/>
  <w15:chartTrackingRefBased/>
  <w15:docId w15:val="{21CCECC6-57CE-524E-9364-BE5C06CC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0A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1A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A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43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lga.gov/legislation/ilcs/fulltext.asp?DocName=003500050K30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gislature.idaho.gov/statutesrules/idstat/title63/t63ch30/sect63-3027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gislature.idaho.gov/statutesrules/idstat/title63/t63ch30/sect63-3027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egislature.idaho.gov/wp-content/uploads/sessioninfo/2019/interim/adminrules/3500001900G127.pdf" TargetMode="External"/><Relationship Id="rId10" Type="http://schemas.openxmlformats.org/officeDocument/2006/relationships/hyperlink" Target="https://www.legis.la.gov/Legis/ViewDocument.aspx?d=100993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loomberglaw.com/product/tax/document/XNKR0518?jcsearch=tmcit%2520il%25206.3.1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 Jaros</dc:creator>
  <cp:keywords/>
  <dc:description/>
  <cp:lastModifiedBy>Benjamin R Jaros</cp:lastModifiedBy>
  <cp:revision>2</cp:revision>
  <dcterms:created xsi:type="dcterms:W3CDTF">2024-05-30T21:14:00Z</dcterms:created>
  <dcterms:modified xsi:type="dcterms:W3CDTF">2024-05-30T21:14:00Z</dcterms:modified>
</cp:coreProperties>
</file>