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Models</w:t>
      </w:r>
      <w:r>
        <w:t xml:space="preserve"> </w:t>
      </w:r>
      <w:r>
        <w:t xml:space="preserve">with</w:t>
      </w:r>
      <w:r>
        <w:t xml:space="preserve"> </w:t>
      </w:r>
      <w:r>
        <w:t xml:space="preserve">Varying</w:t>
      </w:r>
      <w:r>
        <w:t xml:space="preserve"> </w:t>
      </w:r>
      <w:r>
        <w:t xml:space="preserve">Window</w:t>
      </w:r>
      <w:r>
        <w:t xml:space="preserve"> </w:t>
      </w:r>
      <w:r>
        <w:t xml:space="preserve">Restrictions</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estimate the unique effects of age, period, and cohort to find evidence that may settle these questions and debates. The fundamental problem is one of statistical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these issues</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In reality, this presents an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From a Bayesian perspective, collinearity and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modelling), and .</w:t>
      </w:r>
    </w:p>
    <w:p>
      <w:pPr>
        <w:pStyle w:val="BodyText"/>
      </w:pPr>
      <w:r>
        <w:t xml:space="preserve">These models make a set of simple and straightforward assumptions that, if true, moot the identification problem. In particular, they assume that</w:t>
      </w:r>
      <w:r>
        <w:t xml:space="preserve"> </w:t>
      </w:r>
      <w:r>
        <w:rPr>
          <w:i/>
        </w:rPr>
        <w:t xml:space="preserve">some</w:t>
      </w:r>
      <w:r>
        <w:t xml:space="preserve"> </w:t>
      </w:r>
      <w:r>
        <w:t xml:space="preserve">of the unique ages, periods, and cohorts have identical effects. This equality blocks the age, period, or cohort together, and breaks the exact APC identity. The major criticism of these models is that a constraint in one of the variables induces unkown (and difficult to test constraints) in the other estimators []. Instead of relying on an arbitrrary set of constraints, our averages over thousands of constraints, weighted by an approximation to the probability of the model</w:t>
      </w:r>
      <w:r>
        <w:t xml:space="preserve"> </w:t>
      </w:r>
      <w:r>
        <w:rPr>
          <w:rStyle w:val="VerbatimChar"/>
        </w:rPr>
        <w:t xml:space="preserve">terminology</w:t>
      </w:r>
      <w:r>
        <w:t xml:space="preserve"> </w:t>
      </w:r>
      <w:r>
        <w:t xml:space="preserve">using Bayesian Model Averaging (BMA) algorithms.</w:t>
      </w:r>
    </w:p>
    <w:p>
      <w:pPr>
        <w:pStyle w:val="Heading1"/>
      </w:pPr>
      <w:bookmarkStart w:id="24" w:name="description-of-the-method"/>
      <w:bookmarkEnd w:id="24"/>
      <w:r>
        <w:t xml:space="preserve">Description of the Method</w:t>
      </w:r>
    </w:p>
    <w:p>
      <w:pPr>
        <w:pStyle w:val="FirstParagraph"/>
      </w:pPr>
      <w:r>
        <w:rPr>
          <w:rStyle w:val="VerbatimChar"/>
        </w:rPr>
        <w:t xml:space="preserve">revise here</w:t>
      </w:r>
    </w:p>
    <w:p>
      <w:pPr>
        <w:pStyle w:val="Heading2"/>
      </w:pPr>
      <w:bookmarkStart w:id="25" w:name="blocking-windows-piecewise-constant-functions"/>
      <w:bookmarkEnd w:id="25"/>
      <w:r>
        <w:t xml:space="preserve">Blocking Windows: Piecewise Constant Functions</w:t>
      </w:r>
    </w:p>
    <w:p>
      <w:pPr>
        <w:pStyle w:val="FirstParagraph"/>
      </w:pPr>
      <w:r>
        <w:rPr>
          <w:rStyle w:val="VerbatimChar"/>
        </w:rPr>
        <w:t xml:space="preserve">intro on piecewise constant functions</w:t>
      </w:r>
    </w:p>
    <w:p>
      <w:pPr>
        <w:pStyle w:val="BodyText"/>
      </w:pPr>
      <w:r>
        <w:t xml:space="preserve">In terms of window constraints, the target model, which is inestimable, is built by estimating each unique value of age, period, and cohort, as a dummy variable:</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where</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either exaclty zero, or exactly one).</w:t>
      </w:r>
    </w:p>
    <w:p>
      <w:pPr>
        <w:pStyle w:val="BodyText"/>
      </w:pPr>
      <w:r>
        <w:t xml:space="preserve">This dependency is broken, however, by combining one or more of the unique values together so that they share the same dummy variable series. By way of example, we can construct an age dummy variable series where</w:t>
      </w:r>
      <w:r>
        <w:t xml:space="preserve"> </w:t>
      </w:r>
      <m:oMath>
        <m:r>
          <m:rPr/>
          <m:t>A</m:t>
        </m:r>
      </m:oMath>
      <w:r>
        <w:t xml:space="preserve"> </w:t>
      </w:r>
      <w:r>
        <w:t xml:space="preserve">is sliced into two groups based on some cut-point, say</w:t>
      </w:r>
      <w:r>
        <w:t xml:space="preserve"> </w:t>
      </w:r>
      <m:oMath>
        <m:r>
          <m:rPr/>
          <m:t>g</m:t>
        </m:r>
      </m:oMath>
      <w:r>
        <w:t xml:space="preserve">, so that …</w:t>
      </w:r>
    </w:p>
    <w:p>
      <w:pPr>
        <w:pStyle w:val="BodyText"/>
      </w:pPr>
      <w:r>
        <w:rPr>
          <w:rStyle w:val="VerbatimChar"/>
        </w:rPr>
        <w:t xml:space="preserve">work here</w:t>
      </w:r>
    </w:p>
    <w:p>
      <w:pPr>
        <w:pStyle w:val="BodyText"/>
      </w:pPr>
      <w:r>
        <w:t xml:space="preserve">This would identify a binary dummy variable with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λ</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r>
          <m:rPr/>
          <m:t>λ</m:t>
        </m:r>
        <m:r>
          <m:rPr/>
          <m:t>∈</m:t>
        </m:r>
        <m:r>
          <m:rPr/>
          <m:t>{</m:t>
        </m:r>
        <m:r>
          <m:rPr/>
          <m:t>1</m:t>
        </m:r>
        <m:r>
          <m:rPr/>
          <m:t>,</m:t>
        </m:r>
        <m:r>
          <m:rPr/>
          <m:t>2</m:t>
        </m:r>
        <m:r>
          <m:rPr/>
          <m:t>,</m:t>
        </m:r>
        <m:r>
          <m:rPr/>
          <m:t>.</m:t>
        </m:r>
        <m:r>
          <m:rPr/>
          <m:t>.</m:t>
        </m:r>
        <m:r>
          <m:rPr/>
          <m:t>.</m:t>
        </m:r>
        <m:r>
          <m:rPr/>
          <m:t>γ</m:t>
        </m:r>
        <m:r>
          <m:rPr/>
          <m:t>−</m:t>
        </m:r>
        <m:r>
          <m:rPr/>
          <m:t>1</m:t>
        </m:r>
        <m:r>
          <m:rPr/>
          <m:t>}</m:t>
        </m:r>
      </m:oMath>
      <w:r>
        <w:t xml:space="preserve">, and</w:t>
      </w:r>
      <w:r>
        <w:t xml:space="preserve"> </w:t>
      </w:r>
      <m:oMath>
        <m:r>
          <m:rPr/>
          <m:t>γ</m:t>
        </m:r>
        <m:r>
          <m:rPr/>
          <m:t>&gt;</m:t>
        </m:r>
        <m:r>
          <m:rPr/>
          <m:t>2</m:t>
        </m:r>
      </m:oMath>
      <w:r>
        <w:t xml:space="preserve">, then</w:t>
      </w:r>
      <w:r>
        <w:t xml:space="preserve"> </w:t>
      </w:r>
      <m:oMath>
        <m:r>
          <m:rPr/>
          <m:t>G</m:t>
        </m:r>
      </m:oMath>
      <w:r>
        <w:t xml:space="preserve"> </w:t>
      </w:r>
      <w:r>
        <w:t xml:space="preserve">can describe any posible sets of window restrictions for age. Generalizing cross all dimensions of APC,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data,</w:t>
      </w:r>
      <w:r>
        <w:t xml:space="preserve"> </w:t>
      </w:r>
      <m:oMath>
        <m:r>
          <m:rPr>
            <m:sty m:val="p"/>
            <m:scr m:val="script"/>
          </m:rPr>
          <m:t>M</m:t>
        </m:r>
      </m:oMath>
      <w:r>
        <w:t xml:space="preserve"> </w:t>
      </w:r>
      <w:r>
        <w:t xml:space="preserve">is finite, but it can be quite large. For example, 10 unique ages, periods, and cohorts present</w:t>
      </w:r>
      <w:r>
        <w:t xml:space="preserve"> </w:t>
      </w:r>
      <w:r>
        <w:rPr>
          <w:rStyle w:val="VerbatimChar"/>
        </w:rPr>
        <w:t xml:space="preserve">__</w:t>
      </w:r>
      <w:r>
        <w:t xml:space="preserve"> </w:t>
      </w:r>
      <w:r>
        <w:t xml:space="preserve">possible models.</w:t>
      </w:r>
      <w:r>
        <w:t xml:space="preserve"> </w:t>
      </w:r>
      <w:r>
        <w:rPr>
          <w:rStyle w:val="VerbatimChar"/>
        </w:rPr>
        <w:t xml:space="preserve">describe how</w:t>
      </w:r>
      <w:r>
        <w:t xml:space="preserve"> </w:t>
      </w:r>
      <w:r>
        <w:t xml:space="preserve">Of these</w:t>
      </w:r>
      <w:r>
        <w:rPr>
          <w:rStyle w:val="VerbatimChar"/>
        </w:rPr>
        <w:t xml:space="preserve">__</w:t>
      </w:r>
      <w:r>
        <w:t xml:space="preserve"> </w:t>
      </w:r>
      <w:r>
        <w:t xml:space="preserve">models, only 1 is not estimable because of perfect colinearity. This target model is (theoretially) the least biased, although it is not the most parsimonious model. The question is how to best use infromation from some subset fo possible models in</w:t>
      </w:r>
      <w:r>
        <w:t xml:space="preserve"> </w:t>
      </w:r>
      <m:oMath>
        <m:r>
          <m:rPr>
            <m:sty m:val="p"/>
            <m:scr m:val="script"/>
          </m:rPr>
          <m:t>M</m:t>
        </m:r>
      </m:oMath>
      <w:r>
        <w:t xml:space="preserve"> </w:t>
      </w:r>
      <w:r>
        <w:t xml:space="preserve">to estimate unbiased APC effects. Bayesian Model Averaging (BMA) provides a straightforward way to combine models. The theoretical backdrop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w:t>
      </w:r>
    </w:p>
    <w:p>
      <w:pPr>
        <w:pStyle w:val="Heading2"/>
      </w:pPr>
      <w:bookmarkStart w:id="26" w:name="bayesian-model-averaging-bma-and-the-mc3-algorithm"/>
      <w:bookmarkEnd w:id="26"/>
      <w:r>
        <w:t xml:space="preserve">Bayesian Model Averaging (BMA) and the MC3 Algorithm</w:t>
      </w:r>
    </w:p>
    <w:p>
      <w:pPr>
        <w:pStyle w:val="FirstParagraph"/>
      </w:pPr>
      <w:r>
        <w:t xml:space="preserve">Markov Chain methods for Bayesian Model Averaging (BMA) provides a sensible way to sample over a subset of continually better-fitting models and combine their estimates to produce an approximation of APC effects. The next two sections describe the MC3 agorithm developed for BMA, and outline the unique implementation of MC3 for this particular set of models, drawing from the Dirichelet distribution.</w:t>
      </w:r>
    </w:p>
    <w:p>
      <w:pPr>
        <w:pStyle w:val="Heading2"/>
      </w:pPr>
      <w:bookmarkStart w:id="27" w:name="using-the-dirichlet-distribution-to-sample-window-groups-g"/>
      <w:bookmarkEnd w:id="27"/>
      <w:r>
        <w:t xml:space="preserve">Using the Dirichlet Distribution to Sample Window Groups (G)</w:t>
      </w:r>
    </w:p>
    <w:p>
      <w:pPr>
        <w:pStyle w:val="FirstParagraph"/>
      </w:pPr>
      <w:r>
        <w:t xml:space="preserve">We simulate</w:t>
      </w:r>
      <w:r>
        <w:t xml:space="preserve"> </w:t>
      </w:r>
      <m:oMath>
        <m:r>
          <m:rPr/>
          <m:t>G</m:t>
        </m:r>
      </m:oMath>
      <w:r>
        <w:t xml:space="preserve"> </w:t>
      </w:r>
      <w:r>
        <w:t xml:space="preserve">using two sets of nuisance parameters. For each dimension (</w:t>
      </w:r>
      <m:oMath>
        <m:r>
          <m:rPr/>
          <m:t>d</m:t>
        </m:r>
      </m:oMath>
      <w:r>
        <w:t xml:space="preserve">) of APC, the window breaks,</w:t>
      </w:r>
      <w:r>
        <w:t xml:space="preserve"> </w:t>
      </w:r>
      <m:oMath>
        <m:sSup>
          <m:e>
            <m:r>
              <m:rPr/>
              <m:t>G</m:t>
            </m:r>
          </m:e>
          <m:sup>
            <m:r>
              <m:rPr/>
              <m:t>(</m:t>
            </m:r>
            <m:r>
              <m:rPr/>
              <m:t>d</m:t>
            </m:r>
            <m:r>
              <m:rPr/>
              <m:t>)</m:t>
            </m:r>
          </m:sup>
        </m:sSup>
      </m:oMath>
      <w:r>
        <w:t xml:space="preserve"> </w:t>
      </w:r>
      <w:r>
        <w:t xml:space="preserve">of equaiton 2 are decomposed into (1) a cumulative sum from a Simplex for each dimension, with the same length of unique elements in</w:t>
      </w:r>
      <w:r>
        <w:t xml:space="preserve"> </w:t>
      </w:r>
      <m:oMath>
        <m:r>
          <m:rPr/>
          <m:t>d</m:t>
        </m:r>
      </m:oMath>
      <w:r>
        <w:t xml:space="preserve"> </w:t>
      </w:r>
      <w:r>
        <w:t xml:space="preserve">(</w:t>
      </w:r>
      <m:oMath>
        <m:sSup>
          <m:e>
            <m:r>
              <m:rPr/>
              <m:t>B</m:t>
            </m:r>
          </m:e>
          <m:sup>
            <m:r>
              <m:rPr/>
              <m:t>(</m:t>
            </m:r>
            <m:r>
              <m:rPr/>
              <m:t>d</m:t>
            </m:r>
            <m:r>
              <m:rPr/>
              <m:t>)</m:t>
            </m:r>
          </m:sup>
        </m:sSup>
      </m:oMath>
      <w:r>
        <w:t xml:space="preserve">), and (2) a scalar integer,</w:t>
      </w:r>
      <w:r>
        <w:t xml:space="preserve"> </w:t>
      </w:r>
      <m:oMath>
        <m:sSup>
          <m:e>
            <m:r>
              <m:rPr/>
              <m:t>w</m:t>
            </m:r>
          </m:e>
          <m:sup>
            <m:r>
              <m:rPr/>
              <m:t>d</m:t>
            </m:r>
          </m:sup>
        </m:sSup>
      </m:oMath>
      <w:r>
        <w:t xml:space="preserve">.</w:t>
      </w:r>
      <w:r>
        <w:t xml:space="preserve"> </w:t>
      </w:r>
      <m:oMath>
        <m:sSup>
          <m:e>
            <m:r>
              <m:rPr/>
              <m:t>G</m:t>
            </m:r>
          </m:e>
          <m:sup>
            <m:r>
              <m:rPr/>
              <m:t>(</m:t>
            </m:r>
            <m:r>
              <m:rPr/>
              <m:t>d</m:t>
            </m:r>
            <m:r>
              <m:rPr/>
              <m:t>)</m:t>
            </m:r>
          </m:sup>
        </m:sSup>
      </m:oMath>
      <w:r>
        <w:t xml:space="preserve"> </w:t>
      </w:r>
      <w:r>
        <w:t xml:space="preserve">is simply the product of</w:t>
      </w:r>
      <w:r>
        <w:t xml:space="preserve"> </w:t>
      </w:r>
      <m:oMath>
        <m:r>
          <m:rPr/>
          <m:t>B</m:t>
        </m:r>
      </m:oMath>
      <w:r>
        <w:t xml:space="preserve"> </w:t>
      </w:r>
      <w:r>
        <w:t xml:space="preserve">times</w:t>
      </w:r>
      <w:r>
        <w:t xml:space="preserve"> </w:t>
      </w:r>
      <m:oMath>
        <m:r>
          <m:rPr/>
          <m:t>w</m:t>
        </m:r>
      </m:oMath>
      <w:r>
        <w:t xml:space="preserve">. We sample</w:t>
      </w:r>
      <w:r>
        <w:t xml:space="preserve"> </w:t>
      </w:r>
      <m:oMath>
        <m:r>
          <m:rPr/>
          <m:t>w</m:t>
        </m:r>
      </m:oMath>
      <w:r>
        <w:t xml:space="preserve"> </w:t>
      </w:r>
      <w:r>
        <w:t xml:space="preserve">from the uniform distibution, as follows:</w:t>
      </w:r>
    </w:p>
    <w:p>
      <w:pPr>
        <w:pStyle w:val="BodyText"/>
      </w:pPr>
      <m:oMathPara>
        <m:oMathParaPr>
          <m:jc m:val="center"/>
        </m:oMathParaPr>
        <m:oMath>
          <m:sSup>
            <m:e>
              <m:r>
                <m:rPr/>
                <m:t>w</m:t>
              </m:r>
            </m:e>
            <m:sup>
              <m:r>
                <m:rPr/>
                <m:t>(</m:t>
              </m:r>
              <m:r>
                <m:rPr/>
                <m:t>d</m:t>
              </m:r>
              <m:r>
                <m:rPr/>
                <m:t>)</m:t>
              </m:r>
            </m:sup>
          </m:sSup>
          <m:r>
            <m:rPr/>
            <m:t>∼</m:t>
          </m:r>
          <m:r>
            <m:rPr/>
            <m:t>U</m:t>
          </m:r>
          <m:r>
            <m:rPr/>
            <m:t>(</m:t>
          </m:r>
          <m:r>
            <m:rPr/>
            <m:t>2</m:t>
          </m:r>
          <m:r>
            <m:rPr/>
            <m:t>,</m:t>
          </m:r>
          <m:r>
            <m:rPr/>
            <m:t>m</m:t>
          </m:r>
          <m:r>
            <m:rPr/>
            <m:t>a</m:t>
          </m:r>
          <m:r>
            <m:rPr/>
            <m:t>x</m:t>
          </m:r>
          <m:r>
            <m:rPr/>
            <m:t>(</m:t>
          </m:r>
          <m:sSup>
            <m:e>
              <m:r>
                <m:rPr/>
                <m:t>T</m:t>
              </m:r>
            </m:e>
            <m:sup>
              <m:r>
                <m:rPr/>
                <m:t>(</m:t>
              </m:r>
              <m:r>
                <m:rPr/>
                <m:t>d</m:t>
              </m:r>
              <m:r>
                <m:rPr/>
                <m:t>)</m:t>
              </m:r>
            </m:sup>
          </m:sSup>
          <m:r>
            <m:rPr/>
            <m:t>)</m:t>
          </m:r>
          <m:r>
            <m:rPr/>
            <m:t>)</m:t>
          </m:r>
        </m:oMath>
      </m:oMathPara>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 We sample the weights using a cumulative sum from a dirichelet distribution:</w:t>
      </w:r>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The</w:t>
      </w:r>
      <w:r>
        <w:t xml:space="preserve"> </w:t>
      </w:r>
      <m:oMath>
        <m:r>
          <m:rPr/>
          <m:t>α</m:t>
        </m:r>
      </m:oMath>
      <w:r>
        <w:t xml:space="preserve"> </w:t>
      </w:r>
      <w:r>
        <w:t xml:space="preserve">for the Dirichelet distribution are for each of the vunique values in the dimension (</w:t>
      </w:r>
      <m:oMath>
        <m:r>
          <m:rPr/>
          <m:t>d</m:t>
        </m:r>
      </m:oMath>
      <w:r>
        <w:t xml:space="preserve">) for APC. The Dirchelet distribution draws a random projection on the standard simplex,</w:t>
      </w:r>
      <w:r>
        <w:t xml:space="preserve"> </w:t>
      </w:r>
      <w:r>
        <w:rPr>
          <w:i/>
        </w:rPr>
        <w:t xml:space="preserve">i.e.</w:t>
      </w:r>
      <w:r>
        <w:t xml:space="preserve"> </w:t>
      </w:r>
      <w:r>
        <w:t xml:space="preserve">a vector of weights</w:t>
      </w:r>
      <w:r>
        <w:t xml:space="preserve"> </w:t>
      </w:r>
      <m:oMath>
        <m:r>
          <m:rPr/>
          <m:t>B</m:t>
        </m:r>
      </m:oMath>
      <w:r>
        <w:t xml:space="preserve"> </w:t>
      </w:r>
      <w:r>
        <w:t xml:space="preserve">weights between 0 and 1 which sum to 1. Multiplying the vector of weights (</w:t>
      </w:r>
      <m:oMath>
        <m:r>
          <m:rPr/>
          <m:t>B</m:t>
        </m:r>
      </m:oMath>
      <w:r>
        <w:t xml:space="preserve">) by a scalar</w:t>
      </w:r>
      <w:r>
        <w:t xml:space="preserve"> </w:t>
      </w:r>
      <m:oMath>
        <m:r>
          <m:rPr/>
          <m:t>w</m:t>
        </m:r>
      </m:oMath>
      <w:r>
        <w:t xml:space="preserve"> </w:t>
      </w:r>
      <w:r>
        <w:t xml:space="preserve">provides a set of numbers which sum to the scalar value</w:t>
      </w:r>
      <w:r>
        <w:t xml:space="preserve"> </w:t>
      </w:r>
      <m:oMath>
        <m:sSup>
          <m:e>
            <m:r>
              <m:rPr/>
              <m:t>w</m:t>
            </m:r>
          </m:e>
          <m:sup>
            <m:r>
              <m:rPr/>
              <m:t>(</m:t>
            </m:r>
            <m:r>
              <m:rPr/>
              <m:t>d</m:t>
            </m:r>
            <m:r>
              <m:rPr/>
              <m:t>)</m:t>
            </m:r>
          </m:sup>
        </m:sSup>
      </m:oMath>
      <w:r>
        <w:t xml:space="preserve">. We transform</w:t>
      </w:r>
      <w:r>
        <w:t xml:space="preserve"> </w:t>
      </w:r>
      <m:oMath>
        <m:r>
          <m:rPr/>
          <m:t>B</m:t>
        </m:r>
      </m:oMath>
      <w:r>
        <w:t xml:space="preserve"> </w:t>
      </w:r>
      <w:r>
        <w:t xml:space="preserve">and</w:t>
      </w:r>
      <w:r>
        <w:t xml:space="preserve"> </w:t>
      </w:r>
      <m:oMath>
        <m:r>
          <m:rPr/>
          <m:t>w</m:t>
        </m:r>
      </m:oMath>
      <w:r>
        <w:t xml:space="preserve"> </w:t>
      </w:r>
      <w:r>
        <w:t xml:space="preserve">into matrix</w:t>
      </w:r>
      <w:r>
        <w:t xml:space="preserve"> </w:t>
      </w:r>
      <m:oMath>
        <m:r>
          <m:rPr/>
          <m:t>G</m:t>
        </m:r>
      </m:oMath>
      <w:r>
        <w:t xml:space="preserve"> </w:t>
      </w:r>
      <w:r>
        <w:t xml:space="preserve">by selecting the unique floor rounded values of the product of the cumulative sums of</w:t>
      </w:r>
      <w:r>
        <w:t xml:space="preserve"> </w:t>
      </w:r>
      <m:oMath>
        <m:r>
          <m:rPr/>
          <m:t>B</m:t>
        </m:r>
      </m:oMath>
      <w:r>
        <w:t xml:space="preserve">:</w:t>
      </w:r>
    </w:p>
    <w:p>
      <w:pPr>
        <w:pStyle w:val="BodyText"/>
      </w:pPr>
      <m:oMathPara>
        <m:oMathParaPr>
          <m:jc m:val="center"/>
        </m:oMathParaPr>
        <m:oMath>
          <m:sSubSup>
            <m:e>
              <m:r>
                <m:rPr/>
                <m:t>G</m:t>
              </m:r>
            </m:e>
            <m:sub>
              <m:r>
                <m:rPr/>
                <m:t>b</m:t>
              </m:r>
            </m:sub>
            <m:sup>
              <m:r>
                <m:rPr/>
                <m:t>(</m:t>
              </m:r>
              <m:r>
                <m:rPr/>
                <m:t>d</m:t>
              </m:r>
              <m:r>
                <m:rPr/>
                <m:t>)</m:t>
              </m:r>
            </m:sup>
          </m:sSubSup>
          <m:r>
            <m:rPr/>
            <m:t>=</m:t>
          </m:r>
          <m:r>
            <m:rPr/>
            <m:t>⌊</m:t>
          </m:r>
          <m:sSup>
            <m:e>
              <m:r>
                <m:rPr/>
                <m:t>w</m:t>
              </m:r>
            </m:e>
            <m:sup>
              <m:r>
                <m:rPr/>
                <m:t>(</m:t>
              </m:r>
              <m:r>
                <m:rPr/>
                <m:t>d</m:t>
              </m:r>
              <m:r>
                <m:rPr/>
                <m:t>)</m:t>
              </m:r>
            </m:sup>
          </m:sSup>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t>w</m:t>
          </m:r>
          <m:r>
            <m:rPr/>
            <m:t>h</m:t>
          </m:r>
          <m:r>
            <m:rPr/>
            <m:t>e</m:t>
          </m:r>
          <m:r>
            <m:rPr/>
            <m:t>r</m:t>
          </m:r>
          <m:r>
            <m:rPr/>
            <m:t>e</m:t>
          </m:r>
          <m:sSub>
            <m:e>
              <m:r>
                <m:rPr/>
                <m:t>G</m:t>
              </m:r>
            </m:e>
            <m:sub>
              <m:r>
                <m:rPr/>
                <m:t>b</m:t>
              </m:r>
            </m:sub>
          </m:sSub>
          <m:r>
            <m:rPr/>
            <m:t>&gt;</m:t>
          </m:r>
          <m:sSub>
            <m:e>
              <m:r>
                <m:rPr/>
                <m:t>G</m:t>
              </m:r>
            </m:e>
            <m:sub>
              <m:r>
                <m:rPr/>
                <m:t>b</m:t>
              </m:r>
              <m:r>
                <m:rPr/>
                <m:t>−</m:t>
              </m:r>
              <m:r>
                <m:rPr/>
                <m:t>1</m:t>
              </m:r>
            </m:sub>
          </m:sSub>
          <m:r>
            <m:rPr/>
            <m:t>a</m:t>
          </m:r>
          <m:r>
            <m:rPr/>
            <m:t>n</m:t>
          </m:r>
          <m:r>
            <m:rPr/>
            <m:t>d</m:t>
          </m:r>
          <m:r>
            <m:rPr/>
            <m:t>b</m:t>
          </m:r>
          <m:r>
            <m:rPr/>
            <m:t>⊆</m:t>
          </m:r>
          <m:sSub>
            <m:e>
              <m:r>
                <m:rPr/>
                <m:t>τ</m:t>
              </m:r>
            </m:e>
            <m:sub>
              <m:r>
                <m:rPr/>
                <m:t>d</m:t>
              </m:r>
            </m:sub>
          </m:sSub>
        </m:oMath>
      </m:oMathPara>
    </w:p>
    <w:p>
      <w:pPr>
        <w:pStyle w:val="BodyText"/>
      </w:pPr>
      <w:r>
        <w:t xml:space="preserve">Where</w:t>
      </w:r>
      <w:r>
        <w:t xml:space="preserve"> </w:t>
      </w:r>
      <m:oMath>
        <m:r>
          <m:rPr/>
          <m:t>G</m:t>
        </m:r>
      </m:oMath>
      <w:r>
        <w:t xml:space="preserve"> </w:t>
      </w:r>
      <w:r>
        <w:t xml:space="preserve">is a vector of the type described in equation 2, and</w:t>
      </w:r>
      <w:r>
        <w:t xml:space="preserve"> </w:t>
      </w:r>
      <m:oMath>
        <m:r>
          <m:rPr/>
          <m:t>d</m:t>
        </m:r>
      </m:oMath>
      <w:r>
        <w:t xml:space="preserve"> </w:t>
      </w:r>
      <w:r>
        <w:t xml:space="preserve">indexes</w:t>
      </w:r>
      <w:r>
        <w:t xml:space="preserve"> </w:t>
      </w:r>
      <m:oMath>
        <m:r>
          <m:rPr/>
          <m:t>G</m:t>
        </m:r>
      </m:oMath>
      <w:r>
        <w:t xml:space="preserve"> </w:t>
      </w:r>
      <w:r>
        <w:t xml:space="preserve">and is a subset of the unique values in</w:t>
      </w:r>
      <w:r>
        <w:t xml:space="preserve"> </w:t>
      </w:r>
      <m:oMath>
        <m:r>
          <m:rPr/>
          <m:t>T</m:t>
        </m:r>
      </m:oMath>
      <w:r>
        <w:t xml:space="preserve">.</w:t>
      </w:r>
    </w:p>
    <w:p>
      <w:pPr>
        <w:pStyle w:val="Heading1"/>
      </w:pPr>
      <w:bookmarkStart w:id="28" w:name="a-simulation"/>
      <w:bookmarkEnd w:id="28"/>
      <w:r>
        <w:t xml:space="preserve">A Simulation</w:t>
      </w:r>
    </w:p>
    <w:p>
      <w:pPr>
        <w:pStyle w:val="Heading1"/>
      </w:pPr>
      <w:bookmarkStart w:id="29" w:name="an-empirical-example-from-the-gss"/>
      <w:bookmarkEnd w:id="29"/>
      <w:r>
        <w:t xml:space="preserve">An Empirical Example from the GSS</w:t>
      </w:r>
    </w:p>
    <w:p>
      <w:pPr>
        <w:pStyle w:val="Heading1"/>
      </w:pPr>
      <w:bookmarkStart w:id="30" w:name="discussion"/>
      <w:bookmarkEnd w:id="30"/>
      <w:r>
        <w:t xml:space="preserve">Discussion</w:t>
      </w:r>
    </w:p>
    <w:p>
      <w:pPr>
        <w:pStyle w:val="Heading1"/>
      </w:pPr>
      <w:bookmarkStart w:id="31" w:name="conclusion"/>
      <w:bookmarkEnd w:id="31"/>
      <w:r>
        <w:t xml:space="preserve">Conclusion</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e1d4d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723c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Age-Period-Cohort Estimates by Averaging Multiple Models with Varying Window Restrictions</dc:title>
  <dc:creator/>
</cp:coreProperties>
</file>