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Methods</w:t>
      </w:r>
    </w:p>
    <w:p>
      <w:pPr>
        <w:pStyle w:val="FirstParagraph"/>
      </w:pPr>
      <w:r>
        <w:rPr>
          <w:rStyle w:val="VerbatimChar"/>
        </w:rPr>
        <w:t xml:space="preserve">rounding makes equal probability --- NOT floor</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one of statistical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 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
      <w:bookmarkEnd w:id="25"/>
      <w:r>
        <w:t xml:space="preserve">Step One: Defining a Window Constraint Sampler</w:t>
      </w:r>
    </w:p>
    <w:p>
      <w:pPr>
        <w:pStyle w:val="FirstParagraph"/>
      </w:pPr>
      <w:r>
        <w:t xml:space="preserve">In terms of window constraints, the target model, which is inestimable, is built by estimating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resulting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__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w:t>
      </w:r>
      <w:r>
        <w:t xml:space="preserve"> </w:t>
      </w:r>
      <m:oMath>
        <m:r>
          <m:rPr/>
          <m:t>G</m:t>
        </m:r>
      </m:oMath>
      <w:r>
        <w:t xml:space="preserve"> </w:t>
      </w:r>
      <w:r>
        <w:t xml:space="preserve">can describe any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Bayesian Model Averaging (BMA) provides a straightforward way to combine models.</w:t>
      </w:r>
      <w:r>
        <w:t xml:space="preserve"> </w:t>
      </w:r>
      <w:r>
        <w:rPr>
          <w:rStyle w:val="VerbatimChar"/>
        </w:rPr>
        <w:t xml:space="preserve">need transition</w:t>
      </w:r>
    </w:p>
    <w:p>
      <w:pPr>
        <w:pStyle w:val="BodyText"/>
      </w:pPr>
      <w:r>
        <w:t xml:space="preserve">There are two features of</w:t>
      </w:r>
      <w:r>
        <w:t xml:space="preserve"> </w:t>
      </w:r>
      <m:oMath>
        <m:r>
          <m:rPr/>
          <m:t>G</m:t>
        </m:r>
      </m:oMath>
      <w:r>
        <w:t xml:space="preserve"> </w:t>
      </w:r>
      <w:r>
        <w:t xml:space="preserve">that make an MCMC method an attractive way to sample window models. First, all of the models can be described by a set of three vectors,</w:t>
      </w:r>
      <w:r>
        <w:t xml:space="preserve"> </w:t>
      </w:r>
      <m:oMath>
        <m:r>
          <m:rPr/>
          <m:t>G</m:t>
        </m:r>
      </m:oMath>
      <w:r>
        <w:t xml:space="preserve">.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the location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estimates are assumed to be equal.</w:t>
      </w:r>
    </w:p>
    <w:p>
      <w:pPr>
        <w:pStyle w:val="BodyText"/>
      </w:pPr>
      <w:r>
        <w:t xml:space="preserve">To implement our sampling scheme, we a set of auxiliary variables for each dimension (</w:t>
      </w:r>
      <m:oMath>
        <m:r>
          <m:rPr/>
          <m:t>d</m:t>
        </m:r>
      </m:oMath>
      <w:r>
        <w:t xml:space="preserve">) of APC. These are the intensity, or weight values for the Dirchelet distribution, which .</w:t>
      </w:r>
    </w:p>
    <w:p>
      <w:pPr>
        <w:pStyle w:val="BodyText"/>
      </w:pPr>
      <w:r>
        <w:t xml:space="preserve">The fist is a Simplex (</w:t>
      </w:r>
      <m:oMath>
        <m:r>
          <m:rPr/>
          <m:t>B</m:t>
        </m:r>
      </m:oMath>
      <w:r>
        <w:t xml:space="preserve">) for each unique value of A, P, or C. We draw a unique simplex for each dimension</w:t>
      </w:r>
      <w:r>
        <w:t xml:space="preserve"> </w:t>
      </w:r>
      <m:oMath>
        <m:r>
          <m:rPr/>
          <m:t>d</m:t>
        </m:r>
      </m:oMath>
      <w:r>
        <w:t xml:space="preserve">, with the same length of unique elements in</w:t>
      </w:r>
      <w:r>
        <w:t xml:space="preserve"> </w:t>
      </w:r>
      <m:oMath>
        <m:r>
          <m:rPr/>
          <m:t>d</m:t>
        </m:r>
      </m:oMath>
      <w:r>
        <w:t xml:space="preserve"> </w:t>
      </w:r>
      <w:r>
        <w:t xml:space="preserve">(</w:t>
      </w:r>
      <m:oMath>
        <m:sSup>
          <m:e>
            <m:r>
              <m:rPr/>
              <m:t>B</m:t>
            </m:r>
          </m:e>
          <m:sup>
            <m:r>
              <m:rPr/>
              <m:t>(</m:t>
            </m:r>
            <m:r>
              <m:rPr/>
              <m:t>d</m:t>
            </m:r>
            <m:r>
              <m:rPr/>
              <m:t>)</m:t>
            </m:r>
          </m:sup>
        </m:sSup>
      </m:oMath>
      <w:r>
        <w:t xml:space="preserve">) using the Diricelet distribution. The second auxiliary variable is a scalar for each dimension,</w:t>
      </w:r>
      <w:r>
        <w:t xml:space="preserve"> </w:t>
      </w:r>
      <m:oMath>
        <m:sSup>
          <m:e>
            <m:r>
              <m:rPr/>
              <m:t>w</m:t>
            </m:r>
          </m:e>
          <m:sup>
            <m:r>
              <m:rPr/>
              <m:t>d</m:t>
            </m:r>
          </m:sup>
        </m:sSup>
      </m:oMath>
      <w:r>
        <w:t xml:space="preserve">. We use a uniform distribution to sample</w:t>
      </w:r>
      <w:r>
        <w:t xml:space="preserve"> </w:t>
      </w:r>
      <m:oMath>
        <m:r>
          <m:rPr/>
          <m:t>w</m:t>
        </m:r>
      </m:oMath>
      <w:r>
        <w:t xml:space="preserve">.</w:t>
      </w:r>
      <w:r>
        <w:t xml:space="preserve"> </w:t>
      </w:r>
      <m:oMath>
        <m:sSup>
          <m:e>
            <m:r>
              <m:rPr/>
              <m:t>G</m:t>
            </m:r>
          </m:e>
          <m:sup>
            <m:r>
              <m:rPr/>
              <m:t>(</m:t>
            </m:r>
            <m:r>
              <m:rPr/>
              <m:t>d</m:t>
            </m:r>
            <m:r>
              <m:rPr/>
              <m:t>)</m:t>
            </m:r>
          </m:sup>
        </m:sSup>
      </m:oMath>
      <w:r>
        <w:t xml:space="preserve"> </w:t>
      </w:r>
      <w:r>
        <w:t xml:space="preserve">is simply the product of</w:t>
      </w:r>
      <w:r>
        <w:t xml:space="preserve"> </w:t>
      </w:r>
      <m:oMath>
        <m:r>
          <m:rPr/>
          <m:t>B</m:t>
        </m:r>
      </m:oMath>
      <w:r>
        <w:t xml:space="preserve"> </w:t>
      </w:r>
      <w:r>
        <w:t xml:space="preserve">times</w:t>
      </w:r>
      <w:r>
        <w:t xml:space="preserve"> </w:t>
      </w:r>
      <m:oMath>
        <m:r>
          <m:rPr/>
          <m:t>w</m:t>
        </m:r>
      </m:oMath>
      <w:r>
        <w:t xml:space="preserve">. More formally, we consruct</w:t>
      </w:r>
      <w:r>
        <w:t xml:space="preserve"> </w:t>
      </w:r>
      <m:oMath>
        <m:r>
          <m:rPr/>
          <m:t>G</m:t>
        </m:r>
      </m:oMath>
      <w:r>
        <w:t xml:space="preserve"> </w:t>
      </w:r>
      <w:r>
        <w:t xml:space="preserve">as follows.</w:t>
      </w:r>
    </w:p>
    <w:p>
      <w:pPr>
        <w:pStyle w:val="BodyText"/>
      </w:pPr>
      <m:oMathPara>
        <m:oMathParaPr>
          <m:jc m:val="center"/>
        </m:oMathParaPr>
        <m:oMath>
          <m:sSubSup>
            <m:e>
              <m:r>
                <m:rPr/>
                <m:t>G</m:t>
              </m:r>
            </m:e>
            <m:sub>
              <m:r>
                <m:rPr/>
                <m:t>b</m:t>
              </m:r>
            </m:sub>
            <m:sup>
              <m:r>
                <m:rPr/>
                <m:t>(</m:t>
              </m:r>
              <m:r>
                <m:rPr/>
                <m:t>d</m:t>
              </m:r>
              <m:r>
                <m:rPr/>
                <m:t>)</m:t>
              </m:r>
            </m:sup>
          </m:sSubSup>
          <m:r>
            <m:rPr/>
            <m:t>=</m:t>
          </m:r>
          <m:sSubSup>
            <m:e>
              <m:r>
                <m:rPr/>
                <m:t>W</m:t>
              </m:r>
            </m:e>
            <m:sub>
              <m:r>
                <m:rPr/>
                <m:t>i</m:t>
              </m:r>
            </m:sub>
            <m:sup>
              <m:r>
                <m:rPr/>
                <m:t>(</m:t>
              </m:r>
              <m:r>
                <m:rPr/>
                <m:t>d</m:t>
              </m:r>
              <m:r>
                <m:rPr/>
                <m:t>)</m:t>
              </m:r>
            </m:sup>
          </m:sSubSup>
          <m:r>
            <m:rPr/>
            <m:t>,</m:t>
          </m:r>
          <m:r>
            <m:rPr/>
            <m:t>w</m:t>
          </m:r>
          <m:r>
            <m:rPr/>
            <m:t>h</m:t>
          </m:r>
          <m:r>
            <m:rPr/>
            <m:t>e</m:t>
          </m:r>
          <m:r>
            <m:rPr/>
            <m:t>r</m:t>
          </m:r>
          <m:r>
            <m:rPr/>
            <m:t>e</m:t>
          </m:r>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sty m:val="p"/>
            </m:rPr>
            <m:t>a</m:t>
          </m:r>
          <m:r>
            <m:rPr>
              <m:sty m:val="p"/>
            </m:rPr>
            <m:t>n</m:t>
          </m:r>
          <m:r>
            <m:rPr>
              <m:sty m:val="p"/>
            </m:rPr>
            <m:t>d</m:t>
          </m:r>
          <m:r>
            <m:rPr/>
            <m:t>b</m:t>
          </m:r>
          <m:r>
            <m:rPr/>
            <m:t>⊆</m:t>
          </m:r>
          <m:sSub>
            <m:e>
              <m:r>
                <m:rPr/>
                <m:t>τ</m:t>
              </m:r>
            </m:e>
            <m:sub>
              <m:r>
                <m:rPr/>
                <m:t>d</m:t>
              </m:r>
            </m:sub>
          </m:sSub>
        </m:oMath>
      </m:oMathPara>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rPr>
          <w:rStyle w:val="VerbatimChar"/>
        </w:rPr>
        <w:t xml:space="preserve">this is a confusing paragraph</w:t>
      </w:r>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 </w:t>
      </w:r>
      <w:r>
        <w:t xml:space="preserve">of equation 1). We take the floor rounded value of the product of the cumulative sum of</w:t>
      </w:r>
      <w:r>
        <w:t xml:space="preserve"> </w:t>
      </w:r>
      <m:oMath>
        <m:r>
          <m:rPr/>
          <m:t>B</m:t>
        </m:r>
      </m:oMath>
      <w:r>
        <w:t xml:space="preserve"> </w:t>
      </w:r>
      <w:r>
        <w:t xml:space="preserve">and</w:t>
      </w:r>
      <w:r>
        <w:t xml:space="preserve"> </w:t>
      </w:r>
      <m:oMath>
        <m:r>
          <m:rPr/>
          <m:t>w</m:t>
        </m:r>
      </m:oMath>
      <w:r>
        <w:t xml:space="preserve">, which provides a stirng of integers from 1 to</w:t>
      </w:r>
      <w:r>
        <w:t xml:space="preserve"> </w:t>
      </w:r>
      <m:oMath>
        <m:r>
          <m:rPr/>
          <m:t>w</m:t>
        </m:r>
      </m:oMath>
      <w:r>
        <w:t xml:space="preserve">. These integers identify continuous groupings of windows. Back to the binary example above, the floor-rounded cumulative sum,</w:t>
      </w:r>
      <w:r>
        <w:t xml:space="preserve"> </w:t>
      </w:r>
      <m:oMath>
        <m:r>
          <m:rPr/>
          <m:t>W</m:t>
        </m:r>
      </m:oMath>
      <w:r>
        <w:t xml:space="preserve"> </w:t>
      </w:r>
      <w:r>
        <w:t xml:space="preserve">would be a vector of 26 ones, followed by 20 twoes. The starting value</w:t>
      </w:r>
      <w:r>
        <w:t xml:space="preserve"> </w:t>
      </w:r>
      <m:oMath>
        <m:sSub>
          <m:e>
            <m:r>
              <m:rPr/>
              <m:t>W</m:t>
            </m:r>
          </m:e>
          <m:sub>
            <m:r>
              <m:rPr/>
              <m:t>1</m:t>
            </m:r>
          </m:sub>
        </m:sSub>
      </m:oMath>
      <w:r>
        <w:t xml:space="preserve"> </w:t>
      </w:r>
      <w:r>
        <w:t xml:space="preserve">is the minimum value of the</w:t>
      </w:r>
      <w:r>
        <w:t xml:space="preserve"> </w:t>
      </w:r>
      <m:oMath>
        <m:r>
          <m:rPr/>
          <m:t>a</m:t>
        </m:r>
      </m:oMath>
      <w:r>
        <w:t xml:space="preserve">,</w:t>
      </w:r>
      <w:r>
        <w:t xml:space="preserve"> </w:t>
      </w:r>
      <m:oMath>
        <m:r>
          <m:rPr/>
          <m:t>p</m:t>
        </m:r>
      </m:oMath>
      <w:r>
        <w:t xml:space="preserve">, or</w:t>
      </w:r>
      <w:r>
        <w:t xml:space="preserve"> </w:t>
      </w:r>
      <m:oMath>
        <m:r>
          <m:rPr/>
          <m:t>c</m:t>
        </m:r>
      </m:oMath>
      <w:r>
        <w:t xml:space="preserve">, but each subsequent value of the vecotr</w:t>
      </w:r>
      <w:r>
        <w:t xml:space="preserve"> </w:t>
      </w:r>
      <m:oMath>
        <m:r>
          <m:rPr/>
          <m:t>W</m:t>
        </m:r>
      </m:oMath>
      <w:r>
        <w:t xml:space="preserve"> </w:t>
      </w:r>
      <w:r>
        <w:t xml:space="preserve">is the value of age where the vector of indexes in</w:t>
      </w:r>
      <w:r>
        <w:t xml:space="preserve"> </w:t>
      </w:r>
      <m:oMath>
        <m:r>
          <m:rPr/>
          <m:t>w</m:t>
        </m:r>
      </m:oMath>
      <w:r>
        <w:t xml:space="preserve"> </w:t>
      </w:r>
      <w:r>
        <w:t xml:space="preserve">times</w:t>
      </w:r>
      <w:r>
        <w:t xml:space="preserve"> </w:t>
      </w:r>
      <m:oMath>
        <m:r>
          <m:rPr/>
          <m:t>B</m:t>
        </m:r>
      </m:oMath>
      <w:r>
        <w:t xml:space="preserve"> </w:t>
      </w:r>
      <w:r>
        <w:t xml:space="preserve">change.</w:t>
      </w:r>
      <w:r>
        <w:t xml:space="preserve"> </w:t>
      </w:r>
      <m:oMath>
        <m:r>
          <m:rPr/>
          <m:t>G</m:t>
        </m:r>
      </m:oMath>
      <w:r>
        <w:t xml:space="preserve"> </w:t>
      </w:r>
      <w:r>
        <w:t xml:space="preserve">is simply defined as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w:t>
      </w:r>
    </w:p>
    <w:p>
      <w:pPr>
        <w:pStyle w:val="BodyText"/>
      </w:pPr>
      <w:r>
        <w:t xml:space="preserve">There are a number of possibilites for the jumping distribution of</w:t>
      </w:r>
      <w:r>
        <w:t xml:space="preserve"> </w:t>
      </w:r>
      <m:oMath>
        <m:r>
          <m:rPr/>
          <m:t>g</m:t>
        </m:r>
        <m:r>
          <m:rPr/>
          <m:t>(</m:t>
        </m:r>
        <m:r>
          <m:rPr/>
          <m:t>.</m:t>
        </m:r>
        <m:r>
          <m:rPr/>
          <m:t>)</m:t>
        </m:r>
      </m:oMath>
      <w:r>
        <w:t xml:space="preserve">. Specifically, we use a multivariate normal distribution with a specified variance to update</w:t>
      </w:r>
      <w:r>
        <w:t xml:space="preserve"> </w:t>
      </w:r>
      <m:oMath>
        <m:r>
          <m:rPr/>
          <m:t>α</m:t>
        </m:r>
      </m:oMath>
      <w:r>
        <w:t xml:space="preserve"> </w:t>
      </w:r>
      <w:r>
        <w:t xml:space="preserve">from one set of models to the next. As such,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as the chain approaches infinity.</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This constuction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w:t>
      </w:r>
      <w:r>
        <w:t xml:space="preserve"> </w:t>
      </w:r>
      <m:oMath>
        <m:r>
          <m:rPr/>
          <m:t>α</m:t>
        </m:r>
      </m:oMath>
      <w:r>
        <w:t xml:space="preserve"> </w:t>
      </w:r>
      <w:r>
        <w:t xml:space="preserve">equal to 1 is a uniform (or noninformative) distribution across the simplex</w:t>
      </w:r>
      <w:r>
        <w:t xml:space="preserve"> </w:t>
      </w:r>
      <w:r>
        <w:t xml:space="preserve">(Gelman 2014:69)</w:t>
      </w:r>
      <w:r>
        <w:t xml:space="preserve">. Values less than 1 indicate less weight,</w:t>
      </w:r>
      <w:r>
        <w:t xml:space="preserve"> </w:t>
      </w:r>
      <w:r>
        <w:rPr>
          <w:i/>
        </w:rPr>
        <w:t xml:space="preserve">i.e.</w:t>
      </w:r>
      <w:r>
        <w:t xml:space="preserve"> </w:t>
      </w:r>
      <w:r>
        <w:t xml:space="preserve">it is less likely to be a window break; wherease, values more than 1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 Each panel depicts 1,000 random draws from the equations above across 10 dimensions, where</w:t>
      </w:r>
      <w:r>
        <w:t xml:space="preserve"> </w:t>
      </w:r>
      <m:oMath>
        <m:r>
          <m:rPr/>
          <m:t>w</m:t>
        </m:r>
        <m:r>
          <m:rPr/>
          <m:t>=</m:t>
        </m:r>
        <m:r>
          <m:rPr/>
          <m:t>9</m:t>
        </m:r>
      </m:oMath>
      <w:r>
        <w:t xml:space="preserve">. In the bottom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about 63% of the time.</w:t>
      </w:r>
    </w:p>
    <w:p>
      <w:pPr>
        <w:pStyle w:val="BodyText"/>
      </w:pPr>
      <w:r>
        <w:t xml:space="preserve">The mean probability that a window break begins at each dimension. For the bottom panel, the mean probability is 10% for all of the windows. In the bottom panel, $</w:t>
      </w:r>
      <w:r>
        <w:t xml:space="preserve">= [0.2,0.2,0.2,1,1,1,1,2,2,2]. The mean probability of a window break is low for the first three (2%), roughly even for the middle 4 (9%), and high for the final 3 (19%).</w:t>
      </w:r>
    </w:p>
    <w:p>
      <w:pPr>
        <w:pStyle w:val="BodyText"/>
      </w:pPr>
      <w:r>
        <w:t xml:space="preserve">[Figure 1 About Here]</w:t>
      </w:r>
    </w:p>
    <w:p>
      <w:pPr>
        <w:pStyle w:val="BodyText"/>
      </w:pPr>
      <w:r>
        <w:t xml:space="preserve">The higher the value on the simplex, the higher the probability that the value will be a window break. Accordingly, the Dirichelet also makes it easy to specify more and less informative priors. A dirichelet with values of 1 for</w:t>
      </w:r>
      <w:r>
        <w:t xml:space="preserve"> </w:t>
      </w:r>
      <m:oMath>
        <m:r>
          <m:rPr/>
          <m:t>α</m:t>
        </m:r>
      </m:oMath>
      <w:r>
        <w:t xml:space="preserve"> </w:t>
      </w:r>
      <w:r>
        <w:t xml:space="preserve">constitute equal probability of a window break.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Multiplying the vector of weights (</w:t>
      </w:r>
      <m:oMath>
        <m:r>
          <m:rPr/>
          <m:t>B</m:t>
        </m:r>
      </m:oMath>
      <w:r>
        <w:t xml:space="preserve">) by a scalar</w:t>
      </w:r>
      <w:r>
        <w:t xml:space="preserve"> </w:t>
      </w:r>
      <m:oMath>
        <m:r>
          <m:rPr/>
          <m:t>w</m:t>
        </m:r>
      </m:oMath>
      <w:r>
        <w:t xml:space="preserve"> </w:t>
      </w:r>
      <w:r>
        <w:t xml:space="preserve">provides a set of numbers which sum to the scalar value</w:t>
      </w:r>
      <w:r>
        <w:t xml:space="preserve"> </w:t>
      </w:r>
      <m:oMath>
        <m:sSup>
          <m:e>
            <m:r>
              <m:rPr/>
              <m:t>w</m:t>
            </m:r>
          </m:e>
          <m:sup>
            <m:r>
              <m:rPr/>
              <m:t>(</m:t>
            </m:r>
            <m:r>
              <m:rPr/>
              <m:t>d</m:t>
            </m:r>
            <m:r>
              <m:rPr/>
              <m:t>)</m:t>
            </m:r>
          </m:sup>
        </m:sSup>
      </m:oMath>
      <w:r>
        <w:t xml:space="preserve">.</w:t>
      </w:r>
    </w:p>
    <w:p>
      <w:pPr>
        <w:pStyle w:val="Heading2"/>
      </w:pPr>
      <w:bookmarkStart w:id="28" w:name="step-3-accept-or-reject-proposed-models-in-the-markov-chain"/>
      <w:bookmarkEnd w:id="28"/>
      <w:r>
        <w:t xml:space="preserve">Step 3: Accept or Reject Proposed Models in the Markov Chain</w:t>
      </w:r>
    </w:p>
    <w:p>
      <w:pPr>
        <w:pStyle w:val="Heading2"/>
      </w:pPr>
      <w:bookmarkStart w:id="29" w:name="step-4-ensemble-accepted-models-using-bma"/>
      <w:bookmarkEnd w:id="29"/>
      <w:r>
        <w:t xml:space="preserve">Step 4: Ensemble Accepted Models Using BMA</w:t>
      </w:r>
    </w:p>
    <w:p>
      <w:pPr>
        <w:pStyle w:val="Heading1"/>
      </w:pPr>
      <w:bookmarkStart w:id="30" w:name="a-simulation"/>
      <w:bookmarkEnd w:id="30"/>
      <w:r>
        <w:t xml:space="preserve">A Simulation</w:t>
      </w:r>
    </w:p>
    <w:p>
      <w:pPr>
        <w:pStyle w:val="Heading1"/>
      </w:pPr>
      <w:bookmarkStart w:id="31" w:name="an-empirical-example-from-the-gss"/>
      <w:bookmarkEnd w:id="31"/>
      <w:r>
        <w:t xml:space="preserve">An Empirical Example from the GSS</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f69b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5701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Methods</dc:title>
  <dc:creator/>
</cp:coreProperties>
</file>