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This study tests the genetic vulnerability or resistance to depressive events in the health and retirement study. We approach this in the framework of the diathesis-stress model, which suggests excess genes confer excess vulnerability to negative outcomes when exposed to stress. We also test an opposing theory, that genees confer excess resilience ot negative outcomes when exposed to stress. Combining data from the Health and Retirement Study (HRS) with information on regional unemployment rates from the Beureau of Labor Statistics (BLS), we test sensitivities to changing economic conditions between 2007 and 2012 as changes in depressive symptoms. Then, using a polygenic score from a large published Genome Wide Association Study (GWAS), we test whether individuals’ reaction to the changing economic conditions vary with polygenic scores. Using white non-hispanic adults in the HRS (n=</w:t>
      </w:r>
      <w:r>
        <w:rPr>
          <w:rStyle w:val="VerbatimChar"/>
        </w:rPr>
        <w:t xml:space="preserve">#</w:t>
      </w:r>
      <w:r>
        <w:t xml:space="preserve">), we find</w:t>
      </w:r>
      <w:r>
        <w:t xml:space="preserve"> </w:t>
      </w:r>
      <w:r>
        <w:rPr>
          <w:rStyle w:val="VerbatimChar"/>
        </w:rPr>
        <w:t xml:space="preserve">results</w:t>
      </w:r>
      <w:r>
        <w:t xml:space="preserve">.</w:t>
      </w:r>
    </w:p>
    <w:p>
      <w:pPr>
        <w:pStyle w:val="Heading1"/>
      </w:pPr>
      <w:bookmarkStart w:id="22" w:name="background"/>
      <w:bookmarkEnd w:id="22"/>
      <w:r>
        <w:t xml:space="preserve">Background</w:t>
      </w:r>
    </w:p>
    <w:p>
      <w:pPr>
        <w:pStyle w:val="FirstParagraph"/>
      </w:pPr>
      <w:r>
        <w:t xml:space="preserve">Originating in psychology, the stress process model has been used across social science to explain the development of all sorts of adverse health events–including continuous measures of psychological distress and depressive symptoms which do not reach clinically diagnosable levels</w:t>
      </w:r>
      <w:r>
        <w:t xml:space="preserve"> </w:t>
      </w:r>
      <w:r>
        <w:t xml:space="preserve">(</w:t>
      </w:r>
      <w:r>
        <w:rPr>
          <w:b/>
        </w:rPr>
        <w:t xml:space="preserve">???</w:t>
      </w:r>
      <w:r>
        <w:t xml:space="preserve">)</w:t>
      </w:r>
      <w:r>
        <w:t xml:space="preserve">. In its most basic formulation, the stress process model suggests that organisms respond negatively to negative stimuli from the environment</w:t>
      </w:r>
      <w:r>
        <w:t xml:space="preserve"> </w:t>
      </w:r>
      <w:r>
        <w:t xml:space="preserve">(</w:t>
      </w:r>
      <w:r>
        <w:rPr>
          <w:b/>
        </w:rPr>
        <w:t xml:space="preserve">???</w:t>
      </w:r>
      <w:r>
        <w:t xml:space="preserve">)</w:t>
      </w:r>
      <w:r>
        <w:t xml:space="preserve">. Heterogeneity in negative responses depend on mechanisms that can either buffer or exacerbate the stress response.</w:t>
      </w:r>
    </w:p>
    <w:p>
      <w:pPr>
        <w:pStyle w:val="BodyText"/>
      </w:pPr>
      <w:r>
        <w:t xml:space="preserve">In this case, I would propose constructing the polygenic score in an identical manner to Domingue,</w:t>
      </w:r>
      <w:r>
        <w:t xml:space="preserve"> </w:t>
      </w:r>
      <w:r>
        <w:rPr>
          <w:i/>
        </w:rPr>
        <w:t xml:space="preserve">et al.</w:t>
      </w:r>
      <w:r>
        <w:t xml:space="preserve"> </w:t>
      </w:r>
      <w:r>
        <w:t xml:space="preserve">(Dan Belsky tells me that this can occur given a simple request; and it is a request that he is willing to make for us). Alternatives also include testing of candidate genes (table of most-studied candidates under proposal 2), or building our own polygenic score out of the HRS. Instead of the extreme distress of spousal death, I propose modeling the association with short-term fluctuations in the unemployment rate, and/or the experience of a recession in young adulthood. This builds on previous work of mine that does not include biomarkers, which is currently drafted and under review. It is also similar to work that Conley</w:t>
      </w:r>
      <w:r>
        <w:t xml:space="preserve"> </w:t>
      </w:r>
      <w:r>
        <w:t xml:space="preserve">(</w:t>
      </w:r>
      <w:r>
        <w:rPr>
          <w:b/>
        </w:rPr>
        <w:t xml:space="preserve">???</w:t>
      </w:r>
      <w:r>
        <w:t xml:space="preserve">)</w:t>
      </w:r>
      <w:r>
        <w:t xml:space="preserve"> </w:t>
      </w:r>
      <w:r>
        <w:t xml:space="preserve">proposed several years ago regarding larger economic variation as exogenous environmental treatments that can elucidate gene-environment interactions.</w:t>
      </w:r>
    </w:p>
    <w:p>
      <w:pPr>
        <w:pStyle w:val="BodyText"/>
      </w:pPr>
      <w:r>
        <w:t xml:space="preserve">Short-term fluctuations in well-being (measured by both satisfaction and depression) follow short-term differences in economic circumstances (as measured by the unemployment rate). Late last week (5/18-5/19), I conducted some basic analyses combining the HRS (using depressive symptoms) and the BLS (for unemployment rates), and there is an effect of short-term unemployment rates on depressive symptoms: when unemployment rates go up or down, depressive symptoms follow. The question is whether these short-term effects are distributed across genetic endowments. Moreover, do gene effects indicate a buffer or a sensitivity? Do they vary across positive and negative stimuli? Are there thresholds? These are basic questions with little literature to suggest specific hypotheses.</w:t>
      </w:r>
    </w:p>
    <w:p>
      <w:pPr>
        <w:pStyle w:val="Heading1"/>
      </w:pPr>
      <w:bookmarkStart w:id="23" w:name="data"/>
      <w:bookmarkEnd w:id="23"/>
      <w:r>
        <w:t xml:space="preserve">Data</w:t>
      </w:r>
    </w:p>
    <w:p>
      <w:pPr>
        <w:pStyle w:val="Heading1"/>
      </w:pPr>
      <w:bookmarkStart w:id="24" w:name="analytic-strategy"/>
      <w:bookmarkEnd w:id="24"/>
      <w:r>
        <w:t xml:space="preserve">Analytic Strategy</w:t>
      </w:r>
    </w:p>
    <w:p>
      <w:pPr>
        <w:pStyle w:val="FirstParagraph"/>
      </w:pPr>
      <w:r>
        <w:t xml:space="preserve">For the model, I use both individual fixed effects, and a random effects model. While the ranodm effects model may be more biased, it is also more efficient. To minimize bias, but take advantage of efficiency, I use the</w:t>
      </w:r>
      <w:r>
        <w:t xml:space="preserve"> </w:t>
      </w:r>
      <w:r>
        <w:t xml:space="preserve">“</w:t>
      </w:r>
      <w:r>
        <w:t xml:space="preserve">hybrid</w:t>
      </w:r>
      <w:r>
        <w:t xml:space="preserve">”</w:t>
      </w:r>
      <w:r>
        <w:t xml:space="preserve"> </w:t>
      </w:r>
      <w:r>
        <w:t xml:space="preserve">model of the following form:</w:t>
      </w:r>
    </w:p>
    <w:p>
      <w:pPr>
        <w:pStyle w:val="BodyText"/>
      </w:pPr>
      <w:r>
        <w:t xml:space="preserve">Level 1:</w:t>
      </w:r>
    </w:p>
    <w:p>
      <w:pPr>
        <w:pStyle w:val="BodyText"/>
      </w:pPr>
      <m:oMathPara>
        <m:oMathParaPr>
          <m:jc m:val="center"/>
        </m:oMathParaPr>
        <m:oMath>
          <m:sSub>
            <m:e>
              <m:r>
                <m:rPr/>
                <m:t>y</m:t>
              </m:r>
            </m:e>
            <m:sub>
              <m:r>
                <m:rPr/>
                <m:t>i</m:t>
              </m:r>
              <m:r>
                <m:rPr/>
                <m:t>t</m:t>
              </m:r>
            </m:sub>
          </m:sSub>
          <m:r>
            <m:rPr/>
            <m:t>=</m:t>
          </m:r>
          <m:sSub>
            <m:e>
              <m:r>
                <m:rPr/>
                <m:t>α</m:t>
              </m:r>
            </m:e>
            <m:sub>
              <m:r>
                <m:rPr/>
                <m:t>i</m:t>
              </m:r>
            </m:sub>
          </m:sSub>
          <m:r>
            <m:rPr/>
            <m:t>+</m:t>
          </m:r>
          <m:r>
            <m:rPr/>
            <m:t>δ</m:t>
          </m:r>
          <m:r>
            <m:rPr/>
            <m:t>(</m:t>
          </m:r>
          <m:sSub>
            <m:e>
              <m:bar>
                <m:barPr>
                  <m:pos m:val="top"/>
                </m:barPr>
                <m:e>
                  <m:r>
                    <m:rPr/>
                    <m:t>x</m:t>
                  </m:r>
                </m:e>
              </m:bar>
            </m:e>
            <m:sub>
              <m:r>
                <m:rPr/>
                <m:t>i</m:t>
              </m:r>
              <m:r>
                <m:rPr/>
                <m:t>⋅</m:t>
              </m:r>
            </m:sub>
          </m:sSub>
          <m:r>
            <m:rPr/>
            <m:t>−</m:t>
          </m:r>
          <m:sSub>
            <m:e>
              <m:r>
                <m:rPr/>
                <m:t>x</m:t>
              </m:r>
            </m:e>
            <m:sub>
              <m:r>
                <m:rPr/>
                <m:t>i</m:t>
              </m:r>
              <m:r>
                <m:rPr/>
                <m:t>t</m:t>
              </m:r>
            </m:sub>
          </m:sSub>
          <m:r>
            <m:rPr/>
            <m:t>)</m:t>
          </m:r>
          <m:r>
            <m:rPr/>
            <m:t>+</m:t>
          </m:r>
          <m:nary>
            <m:naryPr>
              <m:chr m:val="∑"/>
              <m:limLoc m:val="undOvr"/>
              <m:supHide m:val="off"/>
              <m:supHide m:val="off"/>
            </m:naryPr>
            <m:e>
              <m:sSub>
                <m:e>
                  <m:r>
                    <m:rPr/>
                    <m:t>β</m:t>
                  </m:r>
                </m:e>
                <m:sub>
                  <m:r>
                    <m:rPr/>
                    <m:t>1</m:t>
                  </m:r>
                  <m:r>
                    <m:rPr/>
                    <m:t>p</m:t>
                  </m:r>
                </m:sub>
              </m:sSub>
            </m:e>
            <m:sub>
              <m:r>
                <m:rPr/>
                <m:t>1</m:t>
              </m:r>
            </m:sub>
            <m:sup>
              <m:r>
                <m:rPr/>
                <m:t>P</m:t>
              </m:r>
            </m:sup>
          </m:nary>
          <m:sSup>
            <m:e>
              <m:r>
                <m:rPr/>
                <m:t>a</m:t>
              </m:r>
            </m:e>
            <m:sup>
              <m:r>
                <m:rPr/>
                <m:t>p</m:t>
              </m:r>
            </m:sup>
          </m:sSup>
          <m:r>
            <m:rPr/>
            <m:t>+</m:t>
          </m:r>
          <m:nary>
            <m:naryPr>
              <m:chr m:val="∑"/>
              <m:limLoc m:val="undOvr"/>
              <m:supHide m:val="off"/>
              <m:supHide m:val="off"/>
            </m:naryPr>
            <m:e>
              <m:sSub>
                <m:e>
                  <m:r>
                    <m:rPr/>
                    <m:t>β</m:t>
                  </m:r>
                </m:e>
                <m:sub>
                  <m:r>
                    <m:rPr/>
                    <m:t>2</m:t>
                  </m:r>
                  <m:r>
                    <m:rPr/>
                    <m:t>y</m:t>
                  </m:r>
                </m:sub>
              </m:sSub>
            </m:e>
            <m:sub>
              <m:r>
                <m:rPr/>
                <m:t>1</m:t>
              </m:r>
            </m:sub>
            <m:sup>
              <m:r>
                <m:rPr/>
                <m:t>Y</m:t>
              </m:r>
            </m:sup>
          </m:nary>
        </m:oMath>
      </m:oMathPara>
    </w:p>
    <w:p>
      <w:pPr>
        <w:pStyle w:val="BodyText"/>
      </w:pPr>
      <w:r>
        <w:t xml:space="preserve">Level 2:</w:t>
      </w:r>
    </w:p>
    <w:p>
      <w:pPr>
        <w:pStyle w:val="BodyText"/>
      </w:pPr>
      <m:oMathPara>
        <m:oMathParaPr>
          <m:jc m:val="center"/>
        </m:oMathParaPr>
        <m:oMath>
          <m:sSub>
            <m:e>
              <m:r>
                <m:rPr/>
                <m:t>α</m:t>
              </m:r>
            </m:e>
            <m:sub>
              <m:r>
                <m:rPr/>
                <m:t>i</m:t>
              </m:r>
            </m:sub>
          </m:sSub>
          <m:r>
            <m:rPr/>
            <m:t>=</m:t>
          </m:r>
          <m:r>
            <m:rPr/>
            <m:t>λ</m:t>
          </m:r>
          <m:sSub>
            <m:e>
              <m:r>
                <m:rPr/>
                <m:t>z</m:t>
              </m:r>
            </m:e>
            <m:sub>
              <m:r>
                <m:rPr/>
                <m:t>i</m:t>
              </m:r>
            </m:sub>
          </m:sSub>
          <m:r>
            <m:rPr/>
            <m:t>+</m:t>
          </m:r>
          <m:r>
            <m:rPr/>
            <m:t>γ</m:t>
          </m:r>
          <m:sSub>
            <m:e>
              <m:bar>
                <m:barPr>
                  <m:pos m:val="top"/>
                </m:barPr>
                <m:e>
                  <m:r>
                    <m:rPr/>
                    <m:t>x</m:t>
                  </m:r>
                </m:e>
              </m:bar>
            </m:e>
            <m:sub>
              <m:r>
                <m:rPr/>
                <m:t>i</m:t>
              </m:r>
              <m:r>
                <m:rPr/>
                <m:t>⋅</m:t>
              </m:r>
            </m:sub>
          </m:sSub>
          <m:r>
            <m:rPr/>
            <m:t>+</m:t>
          </m:r>
          <m:sSub>
            <m:e>
              <m:r>
                <m:rPr/>
                <m:t>ϵ</m:t>
              </m:r>
            </m:e>
            <m:sub>
              <m:r>
                <m:rPr/>
                <m:t>i</m:t>
              </m:r>
            </m:sub>
          </m:sSub>
        </m:oMath>
      </m:oMathPara>
    </w:p>
    <w:p>
      <w:pPr>
        <w:pStyle w:val="BodyText"/>
      </w:pPr>
      <w:r>
        <w:t xml:space="preserve">Where</w:t>
      </w:r>
      <w:r>
        <w:t xml:space="preserve"> </w:t>
      </w:r>
      <m:oMath>
        <m:sSub>
          <m:e>
            <m:r>
              <m:rPr/>
              <m:t>y</m:t>
            </m:r>
          </m:e>
          <m:sub>
            <m:r>
              <m:rPr/>
              <m:t>i</m:t>
            </m:r>
            <m:r>
              <m:rPr/>
              <m:t>t</m:t>
            </m:r>
          </m:sub>
        </m:sSub>
      </m:oMath>
      <w:r>
        <w:t xml:space="preserve"> </w:t>
      </w:r>
      <w:r>
        <w:t xml:space="preserve">is the value for individual</w:t>
      </w:r>
      <w:r>
        <w:t xml:space="preserve"> </w:t>
      </w:r>
      <m:oMath>
        <m:r>
          <m:rPr/>
          <m:t>i</m:t>
        </m:r>
      </m:oMath>
      <w:r>
        <w:t xml:space="preserve">’s depressive symptoms at time</w:t>
      </w:r>
      <w:r>
        <w:t xml:space="preserve"> </w:t>
      </w:r>
      <m:oMath>
        <m:r>
          <m:rPr/>
          <m:t>t</m:t>
        </m:r>
      </m:oMath>
      <w:r>
        <w:t xml:space="preserve">.</w:t>
      </w:r>
      <w:r>
        <w:t xml:space="preserve"> </w:t>
      </w:r>
      <m:oMath>
        <m:r>
          <m:rPr/>
          <m:t>x</m:t>
        </m:r>
      </m:oMath>
      <w:r>
        <w:t xml:space="preserve"> </w:t>
      </w:r>
      <w:r>
        <w:t xml:space="preserve">is a matrix of time-varying variables, including regional unemployment rate, employment status, household income, and household wealth. This also includes coefficients for interactions between unemployment rate and unemployment status, because the main .</w:t>
      </w:r>
      <w:r>
        <w:t xml:space="preserve"> </w:t>
      </w:r>
      <m:oMath>
        <m:r>
          <m:rPr/>
          <m:t>z</m:t>
        </m:r>
      </m:oMath>
      <w:r>
        <w:t xml:space="preserve"> </w:t>
      </w:r>
      <w:r>
        <w:t xml:space="preserve">is a matrix of fixed individual characteristics of gender. Age (</w:t>
      </w:r>
      <m:oMath>
        <m:r>
          <m:rPr/>
          <m:t>a</m:t>
        </m:r>
      </m:oMath>
      <w:r>
        <w:t xml:space="preserve">) is modeled as a polynomial function of rank</w:t>
      </w:r>
      <w:r>
        <w:t xml:space="preserve"> </w:t>
      </w:r>
      <m:oMath>
        <m:r>
          <m:rPr/>
          <m:t>P</m:t>
        </m:r>
      </m:oMath>
      <w:r>
        <w:t xml:space="preserve">. In the models below, I present a quadratic effect. We also include a dummy variable series for the year (</w:t>
      </w:r>
      <m:oMath>
        <m:r>
          <m:rPr/>
          <m:t>y</m:t>
        </m:r>
      </m:oMath>
      <w:r>
        <w:t xml:space="preserve">) the interview is conducted. This hybrid model identifies the</w:t>
      </w:r>
      <w:r>
        <w:t xml:space="preserve"> </w:t>
      </w:r>
      <w:r>
        <w:rPr>
          <w:i/>
        </w:rPr>
        <w:t xml:space="preserve">within-person</w:t>
      </w:r>
      <w:r>
        <w:t xml:space="preserve"> </w:t>
      </w:r>
      <w:r>
        <w:t xml:space="preserve">effects (</w:t>
      </w:r>
      <m:oMath>
        <m:r>
          <m:rPr/>
          <m:t>δ</m:t>
        </m:r>
      </m:oMath>
      <w:r>
        <w:t xml:space="preserve">), which indicate the predicted effect of a change in the relevant variable</w:t>
      </w:r>
      <w:r>
        <w:t xml:space="preserve"> </w:t>
      </w:r>
      <m:oMath>
        <m:r>
          <m:rPr/>
          <m:t>x</m:t>
        </m:r>
      </m:oMath>
      <w:r>
        <w:t xml:space="preserve"> </w:t>
      </w:r>
      <w:r>
        <w:t xml:space="preserve">on any individual</w:t>
      </w:r>
      <w:r>
        <w:t xml:space="preserve"> </w:t>
      </w:r>
      <m:oMath>
        <m:r>
          <m:rPr/>
          <m:t>i</m:t>
        </m:r>
      </m:oMath>
      <w:r>
        <w:t xml:space="preserve"> </w:t>
      </w:r>
      <w:r>
        <w:t xml:space="preserve">with respect to depressive symptoms. It also identifies the</w:t>
      </w:r>
      <w:r>
        <w:t xml:space="preserve"> </w:t>
      </w:r>
      <w:r>
        <w:rPr>
          <w:i/>
        </w:rPr>
        <w:t xml:space="preserve">between-person</w:t>
      </w:r>
      <w:r>
        <w:t xml:space="preserve"> </w:t>
      </w:r>
      <w:r>
        <w:t xml:space="preserve">effects at level 2, including a vector of effects for constant individual characteristics along with a constant (intercept) effect (</w:t>
      </w:r>
      <m:oMath>
        <m:r>
          <m:rPr/>
          <m:t>λ</m:t>
        </m:r>
      </m:oMath>
      <w:r>
        <w:t xml:space="preserve">) and the between-person effects of time-varying variables (</w:t>
      </w:r>
      <m:oMath>
        <m:r>
          <m:rPr/>
          <m:t>γ</m:t>
        </m:r>
      </m:oMath>
      <w:r>
        <w:t xml:space="preserve">). The random errors of level two across individuals (</w:t>
      </w:r>
      <m:oMath>
        <m:sSub>
          <m:e>
            <m:r>
              <m:rPr/>
              <m:t>ϵ</m:t>
            </m:r>
          </m:e>
          <m:sub>
            <m:r>
              <m:rPr/>
              <m:t>i</m:t>
            </m:r>
          </m:sub>
        </m:sSub>
      </m:oMath>
      <w:r>
        <w:t xml:space="preserve">) are assumed to be distributed normally with mean 0 and variance</w:t>
      </w:r>
      <w:r>
        <w:t xml:space="preserve"> </w:t>
      </w:r>
      <m:oMath>
        <m:sSup>
          <m:e>
            <m:r>
              <m:rPr/>
              <m:t>τ</m:t>
            </m:r>
          </m:e>
          <m:sup>
            <m:r>
              <m:rPr/>
              <m:t>2</m:t>
            </m:r>
          </m:sup>
        </m:sSup>
      </m:oMath>
      <w:r>
        <w:t xml:space="preserve"> </w:t>
      </w:r>
      <w:r>
        <w:t xml:space="preserve">(</w:t>
      </w:r>
      <w:r>
        <w:rPr>
          <w:b/>
        </w:rPr>
        <w:t xml:space="preserve">???</w:t>
      </w:r>
      <w:r>
        <w:t xml:space="preserve">)</w:t>
      </w:r>
      <w:r>
        <w:t xml:space="preserve">.</w:t>
      </w:r>
    </w:p>
    <w:p>
      <w:pPr>
        <w:pStyle w:val="BodyText"/>
      </w:pPr>
      <w:r>
        <w:t xml:space="preserve">A great example of a simple and straightforward study along these lines is Dominigue, et al.</w:t>
      </w:r>
      <w:r>
        <w:t xml:space="preserve"> </w:t>
      </w:r>
      <w:r>
        <w:t xml:space="preserve">(</w:t>
      </w:r>
      <w:r>
        <w:rPr>
          <w:b/>
        </w:rPr>
        <w:t xml:space="preserve">???</w:t>
      </w:r>
      <w:r>
        <w:t xml:space="preserve">)</w:t>
      </w:r>
      <w:r>
        <w:t xml:space="preserve">, which finds genetic robustness to the death of a spouse. They use a very straightforward approach. (1) They match SNPs in the HRS to SNPS in the GWAS conducted by Okbay et al.</w:t>
      </w:r>
      <w:r>
        <w:t xml:space="preserve"> </w:t>
      </w:r>
      <w:r>
        <w:t xml:space="preserve">(</w:t>
      </w:r>
      <w:r>
        <w:rPr>
          <w:b/>
        </w:rPr>
        <w:t xml:space="preserve">???</w:t>
      </w:r>
      <w:r>
        <w:t xml:space="preserve">)</w:t>
      </w:r>
      <w:r>
        <w:t xml:space="preserve"> </w:t>
      </w:r>
      <w:r>
        <w:t xml:space="preserve">available through the Social Science Genetic Association Consortium. (2) They sum the weighted estimates of well-being associated alleles from the GWAS to calculate a polygenic score. (3) They adjusted the residulized PGS using 10 principal components and PLINK (command: pca), and normalized the PGS residual distribution, which they used as the measure of genetic predisposition to well-being. They then used a discontinuity regression design centered on the loss of a spouse, and find faster decay in depressive symptoms for those with higher PGS for well-being, concluding that the PGS represents a genetic robustness to negative stressors.</w:t>
      </w:r>
    </w:p>
    <w:p>
      <w:pPr>
        <w:pStyle w:val="Heading1"/>
      </w:pPr>
      <w:bookmarkStart w:id="25" w:name="results"/>
      <w:bookmarkEnd w:id="25"/>
      <w:r>
        <w:t xml:space="preserve">Results</w:t>
      </w:r>
    </w:p>
    <w:p>
      <w:pPr>
        <w:pStyle w:val="FirstParagraph"/>
      </w:pPr>
      <w:r>
        <w:t xml:space="preserve">Hybrid model (environment):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t.value</w:t>
            </w:r>
          </w:p>
        </w:tc>
        <w:tc>
          <w:tcPr>
            <w:tcBorders>
              <w:bottom w:val="single"/>
            </w:tcBorders>
            <w:vAlign w:val="bottom"/>
          </w:tcPr>
          <w:p>
            <w:pPr>
              <w:pStyle w:val="Compact"/>
              <w:jc w:val="left"/>
            </w:pPr>
            <w:r>
              <w:t xml:space="preserve">effname</w:t>
            </w:r>
          </w:p>
        </w:tc>
      </w:tr>
      <w:tr>
        <w:tc>
          <w:p>
            <w:pPr>
              <w:pStyle w:val="Compact"/>
              <w:jc w:val="left"/>
            </w:pPr>
            <w:r>
              <w:t xml:space="preserve">5.884</w:t>
            </w:r>
          </w:p>
        </w:tc>
        <w:tc>
          <w:p>
            <w:pPr>
              <w:pStyle w:val="Compact"/>
              <w:jc w:val="left"/>
            </w:pPr>
            <w:r>
              <w:t xml:space="preserve">0.332</w:t>
            </w:r>
          </w:p>
        </w:tc>
        <w:tc>
          <w:p>
            <w:pPr>
              <w:pStyle w:val="Compact"/>
              <w:jc w:val="left"/>
            </w:pPr>
            <w:r>
              <w:t xml:space="preserve">17.715</w:t>
            </w:r>
          </w:p>
        </w:tc>
        <w:tc>
          <w:p>
            <w:pPr>
              <w:pStyle w:val="Compact"/>
              <w:jc w:val="left"/>
            </w:pPr>
            <w:r>
              <w:t xml:space="preserve">(Intercept)</w:t>
            </w:r>
          </w:p>
        </w:tc>
      </w:tr>
      <w:tr>
        <w:tc>
          <w:p>
            <w:pPr>
              <w:pStyle w:val="Compact"/>
              <w:jc w:val="left"/>
            </w:pPr>
            <w:r>
              <w:t xml:space="preserve">-0.013</w:t>
            </w:r>
          </w:p>
        </w:tc>
        <w:tc>
          <w:p>
            <w:pPr>
              <w:pStyle w:val="Compact"/>
              <w:jc w:val="left"/>
            </w:pPr>
            <w:r>
              <w:t xml:space="preserve">0.015</w:t>
            </w:r>
          </w:p>
        </w:tc>
        <w:tc>
          <w:p>
            <w:pPr>
              <w:pStyle w:val="Compact"/>
              <w:jc w:val="left"/>
            </w:pPr>
            <w:r>
              <w:t xml:space="preserve">-0.869</w:t>
            </w:r>
          </w:p>
        </w:tc>
        <w:tc>
          <w:p>
            <w:pPr>
              <w:pStyle w:val="Compact"/>
              <w:jc w:val="left"/>
            </w:pPr>
            <w:r>
              <w:t xml:space="preserve">iuer</w:t>
            </w:r>
          </w:p>
        </w:tc>
      </w:tr>
      <w:tr>
        <w:tc>
          <w:p>
            <w:pPr>
              <w:pStyle w:val="Compact"/>
              <w:jc w:val="left"/>
            </w:pPr>
            <w:r>
              <w:t xml:space="preserve">0.604</w:t>
            </w:r>
          </w:p>
        </w:tc>
        <w:tc>
          <w:p>
            <w:pPr>
              <w:pStyle w:val="Compact"/>
              <w:jc w:val="left"/>
            </w:pPr>
            <w:r>
              <w:t xml:space="preserve">0.156</w:t>
            </w:r>
          </w:p>
        </w:tc>
        <w:tc>
          <w:p>
            <w:pPr>
              <w:pStyle w:val="Compact"/>
              <w:jc w:val="left"/>
            </w:pPr>
            <w:r>
              <w:t xml:space="preserve">3.873</w:t>
            </w:r>
          </w:p>
        </w:tc>
        <w:tc>
          <w:p>
            <w:pPr>
              <w:pStyle w:val="Compact"/>
              <w:jc w:val="left"/>
            </w:pPr>
            <w:r>
              <w:t xml:space="preserve">iret</w:t>
            </w:r>
          </w:p>
        </w:tc>
      </w:tr>
      <w:tr>
        <w:tc>
          <w:p>
            <w:pPr>
              <w:pStyle w:val="Compact"/>
              <w:jc w:val="left"/>
            </w:pPr>
            <w:r>
              <w:t xml:space="preserve">1.745</w:t>
            </w:r>
          </w:p>
        </w:tc>
        <w:tc>
          <w:p>
            <w:pPr>
              <w:pStyle w:val="Compact"/>
              <w:jc w:val="left"/>
            </w:pPr>
            <w:r>
              <w:t xml:space="preserve">0.209</w:t>
            </w:r>
          </w:p>
        </w:tc>
        <w:tc>
          <w:p>
            <w:pPr>
              <w:pStyle w:val="Compact"/>
              <w:jc w:val="left"/>
            </w:pPr>
            <w:r>
              <w:t xml:space="preserve">8.336</w:t>
            </w:r>
          </w:p>
        </w:tc>
        <w:tc>
          <w:p>
            <w:pPr>
              <w:pStyle w:val="Compact"/>
              <w:jc w:val="left"/>
            </w:pPr>
            <w:r>
              <w:t xml:space="preserve">iunemp</w:t>
            </w:r>
          </w:p>
        </w:tc>
      </w:tr>
      <w:tr>
        <w:tc>
          <w:p>
            <w:pPr>
              <w:pStyle w:val="Compact"/>
              <w:jc w:val="left"/>
            </w:pPr>
            <w:r>
              <w:t xml:space="preserve">0.033</w:t>
            </w:r>
          </w:p>
        </w:tc>
        <w:tc>
          <w:p>
            <w:pPr>
              <w:pStyle w:val="Compact"/>
              <w:jc w:val="left"/>
            </w:pPr>
            <w:r>
              <w:t xml:space="preserve">0.009</w:t>
            </w:r>
          </w:p>
        </w:tc>
        <w:tc>
          <w:p>
            <w:pPr>
              <w:pStyle w:val="Compact"/>
              <w:jc w:val="left"/>
            </w:pPr>
            <w:r>
              <w:t xml:space="preserve">3.637</w:t>
            </w:r>
          </w:p>
        </w:tc>
        <w:tc>
          <w:p>
            <w:pPr>
              <w:pStyle w:val="Compact"/>
              <w:jc w:val="left"/>
            </w:pPr>
            <w:r>
              <w:t xml:space="preserve">md_uer</w:t>
            </w:r>
          </w:p>
        </w:tc>
      </w:tr>
      <w:tr>
        <w:tc>
          <w:p>
            <w:pPr>
              <w:pStyle w:val="Compact"/>
              <w:jc w:val="left"/>
            </w:pPr>
            <w:r>
              <w:t xml:space="preserve">0.094</w:t>
            </w:r>
          </w:p>
        </w:tc>
        <w:tc>
          <w:p>
            <w:pPr>
              <w:pStyle w:val="Compact"/>
              <w:jc w:val="left"/>
            </w:pPr>
            <w:r>
              <w:t xml:space="preserve">0.026</w:t>
            </w:r>
          </w:p>
        </w:tc>
        <w:tc>
          <w:p>
            <w:pPr>
              <w:pStyle w:val="Compact"/>
              <w:jc w:val="left"/>
            </w:pPr>
            <w:r>
              <w:t xml:space="preserve">3.540</w:t>
            </w:r>
          </w:p>
        </w:tc>
        <w:tc>
          <w:p>
            <w:pPr>
              <w:pStyle w:val="Compact"/>
              <w:jc w:val="left"/>
            </w:pPr>
            <w:r>
              <w:t xml:space="preserve">md_ret</w:t>
            </w:r>
          </w:p>
        </w:tc>
      </w:tr>
      <w:tr>
        <w:tc>
          <w:p>
            <w:pPr>
              <w:pStyle w:val="Compact"/>
              <w:jc w:val="left"/>
            </w:pPr>
            <w:r>
              <w:t xml:space="preserve">0.305</w:t>
            </w:r>
          </w:p>
        </w:tc>
        <w:tc>
          <w:p>
            <w:pPr>
              <w:pStyle w:val="Compact"/>
              <w:jc w:val="left"/>
            </w:pPr>
            <w:r>
              <w:t xml:space="preserve">0.030</w:t>
            </w:r>
          </w:p>
        </w:tc>
        <w:tc>
          <w:p>
            <w:pPr>
              <w:pStyle w:val="Compact"/>
              <w:jc w:val="left"/>
            </w:pPr>
            <w:r>
              <w:t xml:space="preserve">10.203</w:t>
            </w:r>
          </w:p>
        </w:tc>
        <w:tc>
          <w:p>
            <w:pPr>
              <w:pStyle w:val="Compact"/>
              <w:jc w:val="left"/>
            </w:pPr>
            <w:r>
              <w:t xml:space="preserve">md_unemp</w:t>
            </w:r>
          </w:p>
        </w:tc>
      </w:tr>
      <w:tr>
        <w:tc>
          <w:p>
            <w:pPr>
              <w:pStyle w:val="Compact"/>
              <w:jc w:val="left"/>
            </w:pPr>
            <w:r>
              <w:t xml:space="preserve">0.262</w:t>
            </w:r>
          </w:p>
        </w:tc>
        <w:tc>
          <w:p>
            <w:pPr>
              <w:pStyle w:val="Compact"/>
              <w:jc w:val="left"/>
            </w:pPr>
            <w:r>
              <w:t xml:space="preserve">0.122</w:t>
            </w:r>
          </w:p>
        </w:tc>
        <w:tc>
          <w:p>
            <w:pPr>
              <w:pStyle w:val="Compact"/>
              <w:jc w:val="left"/>
            </w:pPr>
            <w:r>
              <w:t xml:space="preserve">2.155</w:t>
            </w:r>
          </w:p>
        </w:tc>
        <w:tc>
          <w:p>
            <w:pPr>
              <w:pStyle w:val="Compact"/>
              <w:jc w:val="left"/>
            </w:pPr>
            <w:r>
              <w:t xml:space="preserve">factor(iwendy)2003</w:t>
            </w:r>
          </w:p>
        </w:tc>
      </w:tr>
      <w:tr>
        <w:tc>
          <w:p>
            <w:pPr>
              <w:pStyle w:val="Compact"/>
              <w:jc w:val="left"/>
            </w:pPr>
            <w:r>
              <w:t xml:space="preserve">-0.027</w:t>
            </w:r>
          </w:p>
        </w:tc>
        <w:tc>
          <w:p>
            <w:pPr>
              <w:pStyle w:val="Compact"/>
              <w:jc w:val="left"/>
            </w:pPr>
            <w:r>
              <w:t xml:space="preserve">0.021</w:t>
            </w:r>
          </w:p>
        </w:tc>
        <w:tc>
          <w:p>
            <w:pPr>
              <w:pStyle w:val="Compact"/>
              <w:jc w:val="left"/>
            </w:pPr>
            <w:r>
              <w:t xml:space="preserve">-1.288</w:t>
            </w:r>
          </w:p>
        </w:tc>
        <w:tc>
          <w:p>
            <w:pPr>
              <w:pStyle w:val="Compact"/>
              <w:jc w:val="left"/>
            </w:pPr>
            <w:r>
              <w:t xml:space="preserve">factor(iwendy)2004</w:t>
            </w:r>
          </w:p>
        </w:tc>
      </w:tr>
      <w:tr>
        <w:tc>
          <w:p>
            <w:pPr>
              <w:pStyle w:val="Compact"/>
              <w:jc w:val="left"/>
            </w:pPr>
            <w:r>
              <w:t xml:space="preserve">-0.031</w:t>
            </w:r>
          </w:p>
        </w:tc>
        <w:tc>
          <w:p>
            <w:pPr>
              <w:pStyle w:val="Compact"/>
              <w:jc w:val="left"/>
            </w:pPr>
            <w:r>
              <w:t xml:space="preserve">0.140</w:t>
            </w:r>
          </w:p>
        </w:tc>
        <w:tc>
          <w:p>
            <w:pPr>
              <w:pStyle w:val="Compact"/>
              <w:jc w:val="left"/>
            </w:pPr>
            <w:r>
              <w:t xml:space="preserve">-0.224</w:t>
            </w:r>
          </w:p>
        </w:tc>
        <w:tc>
          <w:p>
            <w:pPr>
              <w:pStyle w:val="Compact"/>
              <w:jc w:val="left"/>
            </w:pPr>
            <w:r>
              <w:t xml:space="preserve">factor(iwendy)2005</w:t>
            </w:r>
          </w:p>
        </w:tc>
      </w:tr>
      <w:tr>
        <w:tc>
          <w:p>
            <w:pPr>
              <w:pStyle w:val="Compact"/>
              <w:jc w:val="left"/>
            </w:pPr>
            <w:r>
              <w:t xml:space="preserve">0.112</w:t>
            </w:r>
          </w:p>
        </w:tc>
        <w:tc>
          <w:p>
            <w:pPr>
              <w:pStyle w:val="Compact"/>
              <w:jc w:val="left"/>
            </w:pPr>
            <w:r>
              <w:t xml:space="preserve">0.023</w:t>
            </w:r>
          </w:p>
        </w:tc>
        <w:tc>
          <w:p>
            <w:pPr>
              <w:pStyle w:val="Compact"/>
              <w:jc w:val="left"/>
            </w:pPr>
            <w:r>
              <w:t xml:space="preserve">4.778</w:t>
            </w:r>
          </w:p>
        </w:tc>
        <w:tc>
          <w:p>
            <w:pPr>
              <w:pStyle w:val="Compact"/>
              <w:jc w:val="left"/>
            </w:pPr>
            <w:r>
              <w:t xml:space="preserve">factor(iwendy)2006</w:t>
            </w:r>
          </w:p>
        </w:tc>
      </w:tr>
      <w:tr>
        <w:tc>
          <w:p>
            <w:pPr>
              <w:pStyle w:val="Compact"/>
              <w:jc w:val="left"/>
            </w:pPr>
            <w:r>
              <w:t xml:space="preserve">0.360</w:t>
            </w:r>
          </w:p>
        </w:tc>
        <w:tc>
          <w:p>
            <w:pPr>
              <w:pStyle w:val="Compact"/>
              <w:jc w:val="left"/>
            </w:pPr>
            <w:r>
              <w:t xml:space="preserve">0.109</w:t>
            </w:r>
          </w:p>
        </w:tc>
        <w:tc>
          <w:p>
            <w:pPr>
              <w:pStyle w:val="Compact"/>
              <w:jc w:val="left"/>
            </w:pPr>
            <w:r>
              <w:t xml:space="preserve">3.304</w:t>
            </w:r>
          </w:p>
        </w:tc>
        <w:tc>
          <w:p>
            <w:pPr>
              <w:pStyle w:val="Compact"/>
              <w:jc w:val="left"/>
            </w:pPr>
            <w:r>
              <w:t xml:space="preserve">factor(iwendy)2007</w:t>
            </w:r>
          </w:p>
        </w:tc>
      </w:tr>
      <w:tr>
        <w:tc>
          <w:p>
            <w:pPr>
              <w:pStyle w:val="Compact"/>
              <w:jc w:val="left"/>
            </w:pPr>
            <w:r>
              <w:t xml:space="preserve">0.057</w:t>
            </w:r>
          </w:p>
        </w:tc>
        <w:tc>
          <w:p>
            <w:pPr>
              <w:pStyle w:val="Compact"/>
              <w:jc w:val="left"/>
            </w:pPr>
            <w:r>
              <w:t xml:space="preserve">0.024</w:t>
            </w:r>
          </w:p>
        </w:tc>
        <w:tc>
          <w:p>
            <w:pPr>
              <w:pStyle w:val="Compact"/>
              <w:jc w:val="left"/>
            </w:pPr>
            <w:r>
              <w:t xml:space="preserve">2.420</w:t>
            </w:r>
          </w:p>
        </w:tc>
        <w:tc>
          <w:p>
            <w:pPr>
              <w:pStyle w:val="Compact"/>
              <w:jc w:val="left"/>
            </w:pPr>
            <w:r>
              <w:t xml:space="preserve">factor(iwendy)2008</w:t>
            </w:r>
          </w:p>
        </w:tc>
      </w:tr>
      <w:tr>
        <w:tc>
          <w:p>
            <w:pPr>
              <w:pStyle w:val="Compact"/>
              <w:jc w:val="left"/>
            </w:pPr>
            <w:r>
              <w:t xml:space="preserve">0.151</w:t>
            </w:r>
          </w:p>
        </w:tc>
        <w:tc>
          <w:p>
            <w:pPr>
              <w:pStyle w:val="Compact"/>
              <w:jc w:val="left"/>
            </w:pPr>
            <w:r>
              <w:t xml:space="preserve">0.125</w:t>
            </w:r>
          </w:p>
        </w:tc>
        <w:tc>
          <w:p>
            <w:pPr>
              <w:pStyle w:val="Compact"/>
              <w:jc w:val="left"/>
            </w:pPr>
            <w:r>
              <w:t xml:space="preserve">1.213</w:t>
            </w:r>
          </w:p>
        </w:tc>
        <w:tc>
          <w:p>
            <w:pPr>
              <w:pStyle w:val="Compact"/>
              <w:jc w:val="left"/>
            </w:pPr>
            <w:r>
              <w:t xml:space="preserve">factor(iwendy)2009</w:t>
            </w:r>
          </w:p>
        </w:tc>
      </w:tr>
      <w:tr>
        <w:tc>
          <w:p>
            <w:pPr>
              <w:pStyle w:val="Compact"/>
              <w:jc w:val="left"/>
            </w:pPr>
            <w:r>
              <w:t xml:space="preserve">-0.057</w:t>
            </w:r>
          </w:p>
        </w:tc>
        <w:tc>
          <w:p>
            <w:pPr>
              <w:pStyle w:val="Compact"/>
              <w:jc w:val="left"/>
            </w:pPr>
            <w:r>
              <w:t xml:space="preserve">0.040</w:t>
            </w:r>
          </w:p>
        </w:tc>
        <w:tc>
          <w:p>
            <w:pPr>
              <w:pStyle w:val="Compact"/>
              <w:jc w:val="left"/>
            </w:pPr>
            <w:r>
              <w:t xml:space="preserve">-1.422</w:t>
            </w:r>
          </w:p>
        </w:tc>
        <w:tc>
          <w:p>
            <w:pPr>
              <w:pStyle w:val="Compact"/>
              <w:jc w:val="left"/>
            </w:pPr>
            <w:r>
              <w:t xml:space="preserve">factor(iwendy)2010</w:t>
            </w:r>
          </w:p>
        </w:tc>
      </w:tr>
      <w:tr>
        <w:tc>
          <w:p>
            <w:pPr>
              <w:pStyle w:val="Compact"/>
              <w:jc w:val="left"/>
            </w:pPr>
            <w:r>
              <w:t xml:space="preserve">0.024</w:t>
            </w:r>
          </w:p>
        </w:tc>
        <w:tc>
          <w:p>
            <w:pPr>
              <w:pStyle w:val="Compact"/>
              <w:jc w:val="left"/>
            </w:pPr>
            <w:r>
              <w:t xml:space="preserve">0.045</w:t>
            </w:r>
          </w:p>
        </w:tc>
        <w:tc>
          <w:p>
            <w:pPr>
              <w:pStyle w:val="Compact"/>
              <w:jc w:val="left"/>
            </w:pPr>
            <w:r>
              <w:t xml:space="preserve">0.544</w:t>
            </w:r>
          </w:p>
        </w:tc>
        <w:tc>
          <w:p>
            <w:pPr>
              <w:pStyle w:val="Compact"/>
              <w:jc w:val="left"/>
            </w:pPr>
            <w:r>
              <w:t xml:space="preserve">factor(iwendy)2011</w:t>
            </w:r>
          </w:p>
        </w:tc>
      </w:tr>
      <w:tr>
        <w:tc>
          <w:p>
            <w:pPr>
              <w:pStyle w:val="Compact"/>
              <w:jc w:val="left"/>
            </w:pPr>
            <w:r>
              <w:t xml:space="preserve">0.032</w:t>
            </w:r>
          </w:p>
        </w:tc>
        <w:tc>
          <w:p>
            <w:pPr>
              <w:pStyle w:val="Compact"/>
              <w:jc w:val="left"/>
            </w:pPr>
            <w:r>
              <w:t xml:space="preserve">0.031</w:t>
            </w:r>
          </w:p>
        </w:tc>
        <w:tc>
          <w:p>
            <w:pPr>
              <w:pStyle w:val="Compact"/>
              <w:jc w:val="left"/>
            </w:pPr>
            <w:r>
              <w:t xml:space="preserve">1.032</w:t>
            </w:r>
          </w:p>
        </w:tc>
        <w:tc>
          <w:p>
            <w:pPr>
              <w:pStyle w:val="Compact"/>
              <w:jc w:val="left"/>
            </w:pPr>
            <w:r>
              <w:t xml:space="preserve">factor(iwendy)2012</w:t>
            </w:r>
          </w:p>
        </w:tc>
      </w:tr>
      <w:tr>
        <w:tc>
          <w:p>
            <w:pPr>
              <w:pStyle w:val="Compact"/>
              <w:jc w:val="left"/>
            </w:pPr>
            <w:r>
              <w:t xml:space="preserve">-0.114</w:t>
            </w:r>
          </w:p>
        </w:tc>
        <w:tc>
          <w:p>
            <w:pPr>
              <w:pStyle w:val="Compact"/>
              <w:jc w:val="left"/>
            </w:pPr>
            <w:r>
              <w:t xml:space="preserve">0.024</w:t>
            </w:r>
          </w:p>
        </w:tc>
        <w:tc>
          <w:p>
            <w:pPr>
              <w:pStyle w:val="Compact"/>
              <w:jc w:val="left"/>
            </w:pPr>
            <w:r>
              <w:t xml:space="preserve">-4.722</w:t>
            </w:r>
          </w:p>
        </w:tc>
        <w:tc>
          <w:p>
            <w:pPr>
              <w:pStyle w:val="Compact"/>
              <w:jc w:val="left"/>
            </w:pPr>
            <w:r>
              <w:t xml:space="preserve">male</w:t>
            </w:r>
          </w:p>
        </w:tc>
      </w:tr>
      <w:tr>
        <w:tc>
          <w:p>
            <w:pPr>
              <w:pStyle w:val="Compact"/>
              <w:jc w:val="left"/>
            </w:pPr>
            <w:r>
              <w:t xml:space="preserve">-0.115</w:t>
            </w:r>
          </w:p>
        </w:tc>
        <w:tc>
          <w:p>
            <w:pPr>
              <w:pStyle w:val="Compact"/>
              <w:jc w:val="left"/>
            </w:pPr>
            <w:r>
              <w:t xml:space="preserve">0.009</w:t>
            </w:r>
          </w:p>
        </w:tc>
        <w:tc>
          <w:p>
            <w:pPr>
              <w:pStyle w:val="Compact"/>
              <w:jc w:val="left"/>
            </w:pPr>
            <w:r>
              <w:t xml:space="preserve">-12.922</w:t>
            </w:r>
          </w:p>
        </w:tc>
        <w:tc>
          <w:p>
            <w:pPr>
              <w:pStyle w:val="Compact"/>
              <w:jc w:val="left"/>
            </w:pPr>
            <w:r>
              <w:t xml:space="preserve">age</w:t>
            </w:r>
          </w:p>
        </w:tc>
      </w:tr>
      <w:tr>
        <w:tc>
          <w:p>
            <w:pPr>
              <w:pStyle w:val="Compact"/>
              <w:jc w:val="left"/>
            </w:pPr>
            <w:r>
              <w:t xml:space="preserve">0.001</w:t>
            </w:r>
          </w:p>
        </w:tc>
        <w:tc>
          <w:p>
            <w:pPr>
              <w:pStyle w:val="Compact"/>
              <w:jc w:val="left"/>
            </w:pPr>
            <w:r>
              <w:t xml:space="preserve">0.000</w:t>
            </w:r>
          </w:p>
        </w:tc>
        <w:tc>
          <w:p>
            <w:pPr>
              <w:pStyle w:val="Compact"/>
              <w:jc w:val="left"/>
            </w:pPr>
            <w:r>
              <w:t xml:space="preserve">11.144</w:t>
            </w:r>
          </w:p>
        </w:tc>
        <w:tc>
          <w:p>
            <w:pPr>
              <w:pStyle w:val="Compact"/>
              <w:jc w:val="left"/>
            </w:pPr>
            <w:r>
              <w:t xml:space="preserve">I(age^2)</w:t>
            </w:r>
          </w:p>
        </w:tc>
      </w:tr>
      <w:tr>
        <w:tc>
          <w:p>
            <w:pPr>
              <w:pStyle w:val="Compact"/>
              <w:jc w:val="left"/>
            </w:pPr>
            <w:r>
              <w:t xml:space="preserve">-0.660</w:t>
            </w:r>
          </w:p>
        </w:tc>
        <w:tc>
          <w:p>
            <w:pPr>
              <w:pStyle w:val="Compact"/>
              <w:jc w:val="left"/>
            </w:pPr>
            <w:r>
              <w:t xml:space="preserve">0.021</w:t>
            </w:r>
          </w:p>
        </w:tc>
        <w:tc>
          <w:p>
            <w:pPr>
              <w:pStyle w:val="Compact"/>
              <w:jc w:val="left"/>
            </w:pPr>
            <w:r>
              <w:t xml:space="preserve">-31.212</w:t>
            </w:r>
          </w:p>
        </w:tc>
        <w:tc>
          <w:p>
            <w:pPr>
              <w:pStyle w:val="Compact"/>
              <w:jc w:val="left"/>
            </w:pPr>
            <w:r>
              <w:t xml:space="preserve">marr</w:t>
            </w:r>
          </w:p>
        </w:tc>
      </w:tr>
      <w:tr>
        <w:tc>
          <w:p>
            <w:pPr>
              <w:pStyle w:val="Compact"/>
              <w:jc w:val="left"/>
            </w:pPr>
            <w:r>
              <w:t xml:space="preserve">0.015</w:t>
            </w:r>
          </w:p>
        </w:tc>
        <w:tc>
          <w:p>
            <w:pPr>
              <w:pStyle w:val="Compact"/>
              <w:jc w:val="left"/>
            </w:pPr>
            <w:r>
              <w:t xml:space="preserve">0.023</w:t>
            </w:r>
          </w:p>
        </w:tc>
        <w:tc>
          <w:p>
            <w:pPr>
              <w:pStyle w:val="Compact"/>
              <w:jc w:val="left"/>
            </w:pPr>
            <w:r>
              <w:t xml:space="preserve">0.657</w:t>
            </w:r>
          </w:p>
        </w:tc>
        <w:tc>
          <w:p>
            <w:pPr>
              <w:pStyle w:val="Compact"/>
              <w:jc w:val="left"/>
            </w:pPr>
            <w:r>
              <w:t xml:space="preserve">iuer:iret</w:t>
            </w:r>
          </w:p>
        </w:tc>
      </w:tr>
      <w:tr>
        <w:tc>
          <w:p>
            <w:pPr>
              <w:pStyle w:val="Compact"/>
              <w:jc w:val="left"/>
            </w:pPr>
            <w:r>
              <w:t xml:space="preserve">-0.038</w:t>
            </w:r>
          </w:p>
        </w:tc>
        <w:tc>
          <w:p>
            <w:pPr>
              <w:pStyle w:val="Compact"/>
              <w:jc w:val="left"/>
            </w:pPr>
            <w:r>
              <w:t xml:space="preserve">0.029</w:t>
            </w:r>
          </w:p>
        </w:tc>
        <w:tc>
          <w:p>
            <w:pPr>
              <w:pStyle w:val="Compact"/>
              <w:jc w:val="left"/>
            </w:pPr>
            <w:r>
              <w:t xml:space="preserve">-1.308</w:t>
            </w:r>
          </w:p>
        </w:tc>
        <w:tc>
          <w:p>
            <w:pPr>
              <w:pStyle w:val="Compact"/>
              <w:jc w:val="left"/>
            </w:pPr>
            <w:r>
              <w:t xml:space="preserve">iuer:iunemp</w:t>
            </w:r>
          </w:p>
        </w:tc>
      </w:tr>
      <w:tr>
        <w:tc>
          <w:p>
            <w:pPr>
              <w:pStyle w:val="Compact"/>
              <w:jc w:val="left"/>
            </w:pPr>
            <w:r>
              <w:t xml:space="preserve">0.013</w:t>
            </w:r>
          </w:p>
        </w:tc>
        <w:tc>
          <w:p>
            <w:pPr>
              <w:pStyle w:val="Compact"/>
              <w:jc w:val="left"/>
            </w:pPr>
            <w:r>
              <w:t xml:space="preserve">0.017</w:t>
            </w:r>
          </w:p>
        </w:tc>
        <w:tc>
          <w:p>
            <w:pPr>
              <w:pStyle w:val="Compact"/>
              <w:jc w:val="left"/>
            </w:pPr>
            <w:r>
              <w:t xml:space="preserve">0.739</w:t>
            </w:r>
          </w:p>
        </w:tc>
        <w:tc>
          <w:p>
            <w:pPr>
              <w:pStyle w:val="Compact"/>
              <w:jc w:val="left"/>
            </w:pPr>
            <w:r>
              <w:t xml:space="preserve">md_uer:md_ret</w:t>
            </w:r>
          </w:p>
        </w:tc>
      </w:tr>
      <w:tr>
        <w:tc>
          <w:p>
            <w:pPr>
              <w:pStyle w:val="Compact"/>
              <w:jc w:val="left"/>
            </w:pPr>
            <w:r>
              <w:t xml:space="preserve">-0.001</w:t>
            </w:r>
          </w:p>
        </w:tc>
        <w:tc>
          <w:p>
            <w:pPr>
              <w:pStyle w:val="Compact"/>
              <w:jc w:val="left"/>
            </w:pPr>
            <w:r>
              <w:t xml:space="preserve">0.021</w:t>
            </w:r>
          </w:p>
        </w:tc>
        <w:tc>
          <w:p>
            <w:pPr>
              <w:pStyle w:val="Compact"/>
              <w:jc w:val="left"/>
            </w:pPr>
            <w:r>
              <w:t xml:space="preserve">-0.036</w:t>
            </w:r>
          </w:p>
        </w:tc>
        <w:tc>
          <w:p>
            <w:pPr>
              <w:pStyle w:val="Compact"/>
              <w:jc w:val="left"/>
            </w:pPr>
            <w:r>
              <w:t xml:space="preserve">md_uer:md_unemp</w:t>
            </w:r>
          </w:p>
        </w:tc>
      </w:tr>
    </w:tbl>
    <w:p>
      <w:pPr>
        <w:pStyle w:val="Heading1"/>
      </w:pPr>
      <w:bookmarkStart w:id="26" w:name="discussion-and-conclusion"/>
      <w:bookmarkEnd w:id="26"/>
      <w:r>
        <w:t xml:space="preserve">Discussion and Conclusion</w:t>
      </w:r>
    </w:p>
    <w:p>
      <w:pPr>
        <w:pStyle w:val="Heading1"/>
      </w:pPr>
      <w:bookmarkStart w:id="27" w:name="references"/>
      <w:bookmarkEnd w:id="27"/>
      <w:r>
        <w:t xml:space="preserve">References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230a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