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D2" w:rsidRDefault="00A64BC6">
      <w:r>
        <w:t>Bryce Bartlett</w:t>
      </w:r>
    </w:p>
    <w:p w:rsidR="00A64BC6" w:rsidRDefault="00A64BC6">
      <w:r>
        <w:t>6/5/2017</w:t>
      </w:r>
    </w:p>
    <w:p w:rsidR="00A64BC6" w:rsidRDefault="00A64BC6"/>
    <w:p w:rsidR="00A64BC6" w:rsidRDefault="00A64BC6">
      <w:pPr>
        <w:rPr>
          <w:b/>
        </w:rPr>
      </w:pPr>
      <w:r>
        <w:rPr>
          <w:b/>
        </w:rPr>
        <w:t xml:space="preserve">Preliminary </w:t>
      </w:r>
      <w:r w:rsidR="006B2C08">
        <w:rPr>
          <w:b/>
        </w:rPr>
        <w:t xml:space="preserve">Environmental </w:t>
      </w:r>
      <w:r>
        <w:rPr>
          <w:b/>
        </w:rPr>
        <w:t>Model</w:t>
      </w:r>
      <w:r w:rsidR="006B2C08">
        <w:rPr>
          <w:b/>
        </w:rPr>
        <w:t xml:space="preserve"> Insert</w:t>
      </w:r>
    </w:p>
    <w:p w:rsidR="00A64BC6" w:rsidRDefault="00A64BC6" w:rsidP="00A64BC6">
      <w:pPr>
        <w:pStyle w:val="Heading1"/>
      </w:pPr>
      <w:r>
        <w:t>Analytic Strategy</w:t>
      </w:r>
    </w:p>
    <w:p w:rsidR="00A64BC6" w:rsidRPr="00A64BC6" w:rsidRDefault="00991CAC" w:rsidP="00991C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64BC6" w:rsidRPr="00A64BC6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A64BC6" w:rsidRPr="00A64BC6">
        <w:rPr>
          <w:rFonts w:ascii="Times New Roman" w:hAnsi="Times New Roman" w:cs="Times New Roman"/>
          <w:sz w:val="24"/>
          <w:szCs w:val="24"/>
        </w:rPr>
        <w:t xml:space="preserve"> a random effects model. While the random effects model may be more biased</w:t>
      </w:r>
      <w:r>
        <w:rPr>
          <w:rFonts w:ascii="Times New Roman" w:hAnsi="Times New Roman" w:cs="Times New Roman"/>
          <w:sz w:val="24"/>
          <w:szCs w:val="24"/>
        </w:rPr>
        <w:t xml:space="preserve"> than an individual fixed-effects model</w:t>
      </w:r>
      <w:r w:rsidR="00A64BC6" w:rsidRPr="00A64BC6">
        <w:rPr>
          <w:rFonts w:ascii="Times New Roman" w:hAnsi="Times New Roman" w:cs="Times New Roman"/>
          <w:sz w:val="24"/>
          <w:szCs w:val="24"/>
        </w:rPr>
        <w:t>, it is also more efficient. To minimize bias, but take advantage of efficiency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A64BC6" w:rsidRPr="00A64BC6">
        <w:rPr>
          <w:rFonts w:ascii="Times New Roman" w:hAnsi="Times New Roman" w:cs="Times New Roman"/>
          <w:sz w:val="24"/>
          <w:szCs w:val="24"/>
        </w:rPr>
        <w:t xml:space="preserve"> use the “hybrid”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(Allison 2009; Halaby 2004)</w:t>
      </w:r>
      <w:r w:rsidR="00A64BC6" w:rsidRPr="00A64BC6">
        <w:rPr>
          <w:rFonts w:ascii="Times New Roman" w:hAnsi="Times New Roman" w:cs="Times New Roman"/>
          <w:sz w:val="24"/>
          <w:szCs w:val="24"/>
        </w:rPr>
        <w:t xml:space="preserve"> of the following form:</w:t>
      </w:r>
    </w:p>
    <w:p w:rsidR="00A64BC6" w:rsidRDefault="00A64BC6" w:rsidP="00991CAC">
      <w:pPr>
        <w:pStyle w:val="BodyText"/>
        <w:ind w:firstLine="0"/>
      </w:pPr>
      <w:r>
        <w:t>Level 1:</w:t>
      </w:r>
    </w:p>
    <w:p w:rsidR="00A64BC6" w:rsidRDefault="00991CAC" w:rsidP="00A64BC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1p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nary>
          <m:r>
            <w:rPr>
              <w:rFonts w:ascii="Cambria Math" w:hAnsi="Cambria Math"/>
            </w:rPr>
            <m:t>w</m:t>
          </m:r>
        </m:oMath>
      </m:oMathPara>
    </w:p>
    <w:p w:rsidR="00A64BC6" w:rsidRDefault="00A64BC6" w:rsidP="00991CAC">
      <w:pPr>
        <w:pStyle w:val="BodyText"/>
        <w:ind w:firstLine="0"/>
      </w:pPr>
      <w:r>
        <w:t>Level 2:</w:t>
      </w:r>
    </w:p>
    <w:p w:rsidR="00A64BC6" w:rsidRDefault="00991CAC" w:rsidP="00A64BC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i⋅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64BC6" w:rsidRDefault="00A64BC6" w:rsidP="00A64BC6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t xml:space="preserve"> is the value for individual </w:t>
      </w:r>
      <m:oMath>
        <m:r>
          <w:rPr>
            <w:rFonts w:ascii="Cambria Math" w:hAnsi="Cambria Math"/>
          </w:rPr>
          <m:t>i</m:t>
        </m:r>
      </m:oMath>
      <w:r>
        <w:t xml:space="preserve">’s depressive symptoms at time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a matrix of time-varying variables, including regional unemployment rate, employment status, household income, and household wealth. </w:t>
      </w:r>
      <w:r w:rsidR="00A03979">
        <w:t>We</w:t>
      </w:r>
      <w:r>
        <w:t xml:space="preserve"> also </w:t>
      </w:r>
      <w:r w:rsidR="00A03979">
        <w:t>include</w:t>
      </w:r>
      <w:r>
        <w:t xml:space="preserve"> coefficients for interactions between unemployment rate and unemployment status, because the main effect in cross-sectional analyses differs by employment status. </w:t>
      </w:r>
      <w:r w:rsidR="00A03979">
        <w:t>Age (</w:t>
      </w:r>
      <m:oMath>
        <m:r>
          <w:rPr>
            <w:rFonts w:ascii="Cambria Math" w:hAnsi="Cambria Math"/>
          </w:rPr>
          <m:t>a</m:t>
        </m:r>
      </m:oMath>
      <w:r w:rsidR="00A03979">
        <w:t xml:space="preserve">) is modeled as a polynomial function of rank </w:t>
      </w:r>
      <m:oMath>
        <m:r>
          <w:rPr>
            <w:rFonts w:ascii="Cambria Math" w:hAnsi="Cambria Math"/>
          </w:rPr>
          <m:t>P</m:t>
        </m:r>
      </m:oMath>
      <w:r w:rsidR="00A03979">
        <w:t>. In the models below, we present a quadratic effect of age. We also include a dummy variable series for the year the interview is conducted (</w:t>
      </w:r>
      <w:r w:rsidR="00A03979">
        <w:rPr>
          <w:i/>
        </w:rPr>
        <w:t>w</w:t>
      </w:r>
      <w:r w:rsidR="00A03979">
        <w:t xml:space="preserve">). </w:t>
      </w:r>
      <m:oMath>
        <m:r>
          <w:rPr>
            <w:rFonts w:ascii="Cambria Math" w:hAnsi="Cambria Math"/>
          </w:rPr>
          <m:t>z</m:t>
        </m:r>
      </m:oMath>
      <w:r>
        <w:t xml:space="preserve"> is a matrix of f</w:t>
      </w:r>
      <w:r w:rsidR="00A03979">
        <w:t xml:space="preserve">ixed individual characteristics, like </w:t>
      </w:r>
      <w:r>
        <w:t xml:space="preserve">gender. </w:t>
      </w:r>
    </w:p>
    <w:p w:rsidR="00A64BC6" w:rsidRDefault="00A64BC6" w:rsidP="00A64BC6">
      <w:pPr>
        <w:pStyle w:val="BodyText"/>
      </w:pPr>
      <w:r>
        <w:lastRenderedPageBreak/>
        <w:t xml:space="preserve">The hybrid model identifies the </w:t>
      </w:r>
      <w:r>
        <w:rPr>
          <w:i/>
        </w:rPr>
        <w:t>within-person</w:t>
      </w:r>
      <w:r>
        <w:t xml:space="preserve"> effects (</w:t>
      </w:r>
      <m:oMath>
        <m:r>
          <w:rPr>
            <w:rFonts w:ascii="Cambria Math" w:hAnsi="Cambria Math"/>
          </w:rPr>
          <m:t>δ</m:t>
        </m:r>
      </m:oMath>
      <w:r>
        <w:t xml:space="preserve">), which indicate the predicted effect of a change in the relevant variable </w:t>
      </w:r>
      <m:oMath>
        <m:r>
          <w:rPr>
            <w:rFonts w:ascii="Cambria Math" w:hAnsi="Cambria Math"/>
          </w:rPr>
          <m:t>x</m:t>
        </m:r>
      </m:oMath>
      <w:r>
        <w:t xml:space="preserve"> on any individual </w:t>
      </w:r>
      <m:oMath>
        <m:r>
          <w:rPr>
            <w:rFonts w:ascii="Cambria Math" w:hAnsi="Cambria Math"/>
          </w:rPr>
          <m:t>i</m:t>
        </m:r>
      </m:oMath>
      <w:r>
        <w:t xml:space="preserve"> with respect to depressive symptoms. It also identifies the </w:t>
      </w:r>
      <w:r>
        <w:rPr>
          <w:i/>
        </w:rPr>
        <w:t>between-person</w:t>
      </w:r>
      <w:r>
        <w:t xml:space="preserve"> effects at level 2, including a vector of effects for constant individual characteristics along with a constant (intercept) effect (</w:t>
      </w:r>
      <m:oMath>
        <m:r>
          <w:rPr>
            <w:rFonts w:ascii="Cambria Math" w:hAnsi="Cambria Math"/>
          </w:rPr>
          <m:t>λ</m:t>
        </m:r>
      </m:oMath>
      <w:r>
        <w:t>) and the between-person effects of time-varying variables (</w:t>
      </w:r>
      <m:oMath>
        <m:r>
          <w:rPr>
            <w:rFonts w:ascii="Cambria Math" w:hAnsi="Cambria Math"/>
          </w:rPr>
          <m:t>γ</m:t>
        </m:r>
      </m:oMath>
      <w:r>
        <w:t>). The random errors of level two across individuals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are assumed to be distributed normally with mean 0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(Raudenbush 2002).</w:t>
      </w:r>
    </w:p>
    <w:p w:rsidR="00A64BC6" w:rsidRDefault="00A64BC6" w:rsidP="00A64BC6">
      <w:pPr>
        <w:pStyle w:val="BodyText"/>
        <w:ind w:firstLine="0"/>
        <w:rPr>
          <w:b/>
        </w:rPr>
      </w:pPr>
    </w:p>
    <w:p w:rsidR="00991CAC" w:rsidRDefault="00A64BC6" w:rsidP="00991CAC">
      <w:pPr>
        <w:pStyle w:val="BodyText"/>
        <w:spacing w:after="0" w:line="240" w:lineRule="auto"/>
        <w:ind w:firstLine="0"/>
      </w:pPr>
      <w:r w:rsidRPr="00991CAC">
        <w:t>Table</w:t>
      </w:r>
      <w:r w:rsidR="00991CAC">
        <w:t xml:space="preserve"> 1. Results of hybrid random effects model for depressive symptoms.</w:t>
      </w:r>
    </w:p>
    <w:p w:rsidR="00991CAC" w:rsidRPr="00991CAC" w:rsidRDefault="00991CAC" w:rsidP="00991CAC">
      <w:pPr>
        <w:pStyle w:val="BodyText"/>
        <w:spacing w:after="0" w:line="240" w:lineRule="auto"/>
        <w:ind w:firstLine="0"/>
      </w:pPr>
      <w:r>
        <w:t>Grey highlighting indicates environmental exposure of interest.</w:t>
      </w:r>
      <w:bookmarkStart w:id="0" w:name="_GoBack"/>
      <w:bookmarkEnd w:id="0"/>
    </w:p>
    <w:tbl>
      <w:tblPr>
        <w:tblW w:w="3802" w:type="pct"/>
        <w:tblLook w:val="07E0" w:firstRow="1" w:lastRow="1" w:firstColumn="1" w:lastColumn="1" w:noHBand="1" w:noVBand="1"/>
      </w:tblPr>
      <w:tblGrid>
        <w:gridCol w:w="3623"/>
        <w:gridCol w:w="1162"/>
        <w:gridCol w:w="1280"/>
        <w:gridCol w:w="1052"/>
      </w:tblGrid>
      <w:tr w:rsidR="006B2C08" w:rsidTr="00A503A6"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6B2C08" w:rsidRDefault="006B2C08" w:rsidP="00A503A6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</w:pPr>
            <w:r>
              <w:t>Estimate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6B2C08" w:rsidRDefault="00A03979" w:rsidP="00A503A6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</w:pPr>
            <w:r>
              <w:t xml:space="preserve">Std. </w:t>
            </w:r>
            <w:r w:rsidR="006B2C08">
              <w:t>Error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6B2C08" w:rsidRDefault="00A03979" w:rsidP="00A503A6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</w:pPr>
            <w:r>
              <w:t xml:space="preserve">t </w:t>
            </w:r>
            <w:r w:rsidR="006B2C08">
              <w:t>value</w:t>
            </w:r>
          </w:p>
        </w:tc>
      </w:tr>
      <w:tr w:rsidR="006B2C08" w:rsidTr="00A503A6">
        <w:tc>
          <w:tcPr>
            <w:tcW w:w="0" w:type="auto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rPr>
                <w:b/>
              </w:rPr>
            </w:pPr>
            <w:r w:rsidRPr="006B2C08">
              <w:rPr>
                <w:b/>
              </w:rPr>
              <w:t>Between Person Effects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>Intercept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5.884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17.715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>Unemployment Rate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-0.869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>Male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-0.114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-4.722</w:t>
            </w:r>
          </w:p>
        </w:tc>
      </w:tr>
      <w:tr w:rsidR="006B2C08" w:rsidTr="006B2C08">
        <w:tc>
          <w:tcPr>
            <w:tcW w:w="0" w:type="auto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Working status (ref=working)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Retirement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3.873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Unemployed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1.745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8.336</w:t>
            </w:r>
          </w:p>
        </w:tc>
      </w:tr>
      <w:tr w:rsidR="006B2C08" w:rsidTr="006B2C08">
        <w:tc>
          <w:tcPr>
            <w:tcW w:w="0" w:type="auto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Interaction with Working Status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U/E x Retirement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0.657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U/E x Unemployment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-0.038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-1.308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rPr>
                <w:b/>
              </w:rPr>
            </w:pPr>
            <w:r>
              <w:rPr>
                <w:b/>
              </w:rPr>
              <w:t>Within Person Effects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  <w:shd w:val="clear" w:color="auto" w:fill="D9D9D9" w:themeFill="background1" w:themeFillShade="D9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 w:rsidRPr="006B2C08">
              <w:t>Unemployment Rate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 w:rsidRPr="006B2C08">
              <w:t>0.033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 w:rsidRPr="006B2C08">
              <w:t>0.009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 w:rsidRPr="006B2C08">
              <w:t>3.637</w:t>
            </w:r>
          </w:p>
        </w:tc>
      </w:tr>
      <w:tr w:rsidR="006B2C08" w:rsidTr="006B2C08">
        <w:tc>
          <w:tcPr>
            <w:tcW w:w="0" w:type="auto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Working Status (Ref=working)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Retired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3.540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Unemployed 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10.203</w:t>
            </w:r>
          </w:p>
        </w:tc>
      </w:tr>
      <w:tr w:rsidR="006B2C08" w:rsidTr="006B2C08">
        <w:tc>
          <w:tcPr>
            <w:tcW w:w="0" w:type="auto"/>
          </w:tcPr>
          <w:p w:rsidR="006B2C08" w:rsidRPr="006B2C08" w:rsidRDefault="006B2C08" w:rsidP="006B2C08">
            <w:pPr>
              <w:pStyle w:val="Compact"/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Interaction with Working Status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U/E x Retired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0.739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 xml:space="preserve">  U/E x Unemployed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-0.001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-0.036</w:t>
            </w:r>
          </w:p>
        </w:tc>
      </w:tr>
      <w:tr w:rsidR="006B2C08" w:rsidTr="006B2C08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>Age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-0.115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-12.922</w:t>
            </w:r>
          </w:p>
        </w:tc>
      </w:tr>
      <w:tr w:rsidR="006B2C08" w:rsidTr="00A503A6"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>Age-Squared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11.144</w:t>
            </w:r>
          </w:p>
        </w:tc>
      </w:tr>
      <w:tr w:rsidR="006B2C08" w:rsidTr="00A503A6">
        <w:tc>
          <w:tcPr>
            <w:tcW w:w="0" w:type="auto"/>
            <w:tcBorders>
              <w:bottom w:val="single" w:sz="2" w:space="0" w:color="auto"/>
            </w:tcBorders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</w:pPr>
            <w:r>
              <w:t>Married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-0.660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0.021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6B2C08" w:rsidRDefault="006B2C08" w:rsidP="006B2C08">
            <w:pPr>
              <w:pStyle w:val="Compact"/>
              <w:spacing w:before="0" w:after="0" w:line="240" w:lineRule="auto"/>
              <w:ind w:firstLine="0"/>
              <w:jc w:val="right"/>
            </w:pPr>
            <w:r>
              <w:t>-31.212</w:t>
            </w:r>
          </w:p>
        </w:tc>
      </w:tr>
    </w:tbl>
    <w:p w:rsidR="00A03979" w:rsidRDefault="006B2C08" w:rsidP="00A03979">
      <w:pPr>
        <w:pStyle w:val="BodyText"/>
        <w:spacing w:after="0" w:line="240" w:lineRule="auto"/>
        <w:ind w:firstLine="0"/>
      </w:pPr>
      <w:r>
        <w:t xml:space="preserve">Note: 19,989 individuals 57,573 observations (listwise delete strategy). </w:t>
      </w:r>
      <w:r w:rsidR="00A03979">
        <w:t>Random effects model using LMe4 package. Controls for year of survey (not pictured). Effects substantially similar when income and wealth included as time-varying covariates.</w:t>
      </w:r>
    </w:p>
    <w:sectPr w:rsidR="00A0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C6"/>
    <w:rsid w:val="00300E0A"/>
    <w:rsid w:val="00424CD2"/>
    <w:rsid w:val="006B2C08"/>
    <w:rsid w:val="00991CAC"/>
    <w:rsid w:val="00A03979"/>
    <w:rsid w:val="00A503A6"/>
    <w:rsid w:val="00A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C93D"/>
  <w15:chartTrackingRefBased/>
  <w15:docId w15:val="{733089E3-F6F9-49BC-8E8E-6B8D2750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4BC6"/>
    <w:pPr>
      <w:spacing w:before="600" w:after="0" w:line="360" w:lineRule="auto"/>
      <w:outlineLvl w:val="0"/>
    </w:pPr>
    <w:rPr>
      <w:rFonts w:ascii="Times New Roman" w:eastAsiaTheme="majorEastAsia" w:hAnsi="Times New Roman" w:cstheme="majorBidi"/>
      <w:b/>
      <w:bCs/>
      <w:i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C6"/>
    <w:rPr>
      <w:rFonts w:ascii="Times New Roman" w:eastAsiaTheme="majorEastAsia" w:hAnsi="Times New Roman" w:cstheme="majorBidi"/>
      <w:b/>
      <w:bCs/>
      <w:iCs/>
      <w:sz w:val="24"/>
      <w:szCs w:val="32"/>
    </w:rPr>
  </w:style>
  <w:style w:type="paragraph" w:styleId="BodyText">
    <w:name w:val="Body Text"/>
    <w:basedOn w:val="Normal"/>
    <w:link w:val="BodyTextChar1"/>
    <w:rsid w:val="00A64BC6"/>
    <w:pPr>
      <w:spacing w:after="120" w:line="480" w:lineRule="auto"/>
      <w:ind w:firstLine="720"/>
    </w:pPr>
    <w:rPr>
      <w:rFonts w:ascii="Times New Roman" w:eastAsiaTheme="minorEastAsia" w:hAnsi="Times New Roman"/>
      <w:sz w:val="24"/>
    </w:rPr>
  </w:style>
  <w:style w:type="character" w:customStyle="1" w:styleId="BodyTextChar">
    <w:name w:val="Body Text Char"/>
    <w:basedOn w:val="DefaultParagraphFont"/>
    <w:uiPriority w:val="99"/>
    <w:semiHidden/>
    <w:rsid w:val="00A64BC6"/>
  </w:style>
  <w:style w:type="character" w:customStyle="1" w:styleId="BodyTextChar1">
    <w:name w:val="Body Text Char1"/>
    <w:basedOn w:val="DefaultParagraphFont"/>
    <w:link w:val="BodyText"/>
    <w:rsid w:val="00A64BC6"/>
    <w:rPr>
      <w:rFonts w:ascii="Times New Roman" w:eastAsiaTheme="minorEastAsia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64BC6"/>
    <w:rPr>
      <w:color w:val="808080"/>
    </w:rPr>
  </w:style>
  <w:style w:type="paragraph" w:customStyle="1" w:styleId="Compact">
    <w:name w:val="Compact"/>
    <w:basedOn w:val="Normal"/>
    <w:rsid w:val="006B2C08"/>
    <w:pPr>
      <w:spacing w:before="36" w:after="36" w:line="480" w:lineRule="auto"/>
      <w:ind w:firstLine="7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Bartlett</dc:creator>
  <cp:keywords/>
  <dc:description/>
  <cp:lastModifiedBy>Bryce Bartlett</cp:lastModifiedBy>
  <cp:revision>5</cp:revision>
  <dcterms:created xsi:type="dcterms:W3CDTF">2017-06-05T13:34:00Z</dcterms:created>
  <dcterms:modified xsi:type="dcterms:W3CDTF">2017-06-05T14:20:00Z</dcterms:modified>
</cp:coreProperties>
</file>