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__. Bayesian regression estimates on logged Relative Rate of Acute to Chronic underlying-cause deaths 1994-2003.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4-ICD9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4-ICD10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M4: ICD10-ICD9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  <w:r>
              <w:t xml:space="preserve">[-0.042,-0.006]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  <w:r>
              <w:t xml:space="preserve">[-0.075,-0.019]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  <w:r>
              <w:t xml:space="preserve">[-0.018,0.019]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  <w:r>
              <w:t xml:space="preserve">[0.014,0.080]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-0.452</w:t>
            </w:r>
            <w:r>
              <w:t xml:space="preserve">[-0.606,-0.302]</w:t>
            </w:r>
          </w:p>
        </w:tc>
        <w:tc>
          <w:p>
            <w:pPr>
              <w:pStyle w:val="Compact"/>
              <w:jc w:val="right"/>
            </w:pPr>
            <w:r>
              <w:t xml:space="preserve">-0.412</w:t>
            </w:r>
            <w:r>
              <w:t xml:space="preserve">[-0.591,-0.235]</w:t>
            </w:r>
          </w:p>
        </w:tc>
        <w:tc>
          <w:p>
            <w:pPr>
              <w:pStyle w:val="Compact"/>
              <w:jc w:val="right"/>
            </w:pPr>
            <w:r>
              <w:t xml:space="preserve">-0.524</w:t>
            </w:r>
            <w:r>
              <w:t xml:space="preserve">[-0.679,-0.371]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  <w:r>
              <w:t xml:space="preserve">[-0.215,-0.004]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-1.031</w:t>
            </w:r>
            <w:r>
              <w:t xml:space="preserve">[-1.191,-0.872]</w:t>
            </w:r>
          </w:p>
        </w:tc>
        <w:tc>
          <w:p>
            <w:pPr>
              <w:pStyle w:val="Compact"/>
              <w:jc w:val="right"/>
            </w:pPr>
            <w:r>
              <w:t xml:space="preserve">-1.130</w:t>
            </w:r>
            <w:r>
              <w:t xml:space="preserve">[-1.314,-0.959]</w:t>
            </w:r>
          </w:p>
        </w:tc>
        <w:tc>
          <w:p>
            <w:pPr>
              <w:pStyle w:val="Compact"/>
              <w:jc w:val="right"/>
            </w:pPr>
            <w:r>
              <w:t xml:space="preserve">-0.952</w:t>
            </w:r>
            <w:r>
              <w:t xml:space="preserve">[-1.105,-0.809]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  <w:r>
              <w:t xml:space="preserve">[0.074,0.284]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-1.631</w:t>
            </w:r>
            <w:r>
              <w:t xml:space="preserve">[-1.784,-1.479]</w:t>
            </w:r>
          </w:p>
        </w:tc>
        <w:tc>
          <w:p>
            <w:pPr>
              <w:pStyle w:val="Compact"/>
              <w:jc w:val="right"/>
            </w:pPr>
            <w:r>
              <w:t xml:space="preserve">-1.805</w:t>
            </w:r>
            <w:r>
              <w:t xml:space="preserve">[-1.988,-1.621]</w:t>
            </w:r>
          </w:p>
        </w:tc>
        <w:tc>
          <w:p>
            <w:pPr>
              <w:pStyle w:val="Compact"/>
              <w:jc w:val="right"/>
            </w:pPr>
            <w:r>
              <w:t xml:space="preserve">-1.482</w:t>
            </w:r>
            <w:r>
              <w:t xml:space="preserve">[-1.639,-1.328]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  <w:r>
              <w:t xml:space="preserve">[0.219,0.428]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-2.109</w:t>
            </w:r>
            <w:r>
              <w:t xml:space="preserve">[-2.260,-1.954]</w:t>
            </w:r>
          </w:p>
        </w:tc>
        <w:tc>
          <w:p>
            <w:pPr>
              <w:pStyle w:val="Compact"/>
              <w:jc w:val="right"/>
            </w:pPr>
            <w:r>
              <w:t xml:space="preserve">-2.275</w:t>
            </w:r>
            <w:r>
              <w:t xml:space="preserve">[-2.452,-2.096]</w:t>
            </w:r>
          </w:p>
        </w:tc>
        <w:tc>
          <w:p>
            <w:pPr>
              <w:pStyle w:val="Compact"/>
              <w:jc w:val="right"/>
            </w:pPr>
            <w:r>
              <w:t xml:space="preserve">-1.990</w:t>
            </w:r>
            <w:r>
              <w:t xml:space="preserve">[-2.141,-1.842]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  <w:r>
              <w:t xml:space="preserve">[0.178,0.391]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-2.449</w:t>
            </w:r>
            <w:r>
              <w:t xml:space="preserve">[-2.602,-2.288]</w:t>
            </w:r>
          </w:p>
        </w:tc>
        <w:tc>
          <w:p>
            <w:pPr>
              <w:pStyle w:val="Compact"/>
              <w:jc w:val="right"/>
            </w:pPr>
            <w:r>
              <w:t xml:space="preserve">-2.601</w:t>
            </w:r>
            <w:r>
              <w:t xml:space="preserve">[-2.780,-2.422]</w:t>
            </w:r>
          </w:p>
        </w:tc>
        <w:tc>
          <w:p>
            <w:pPr>
              <w:pStyle w:val="Compact"/>
              <w:jc w:val="right"/>
            </w:pPr>
            <w:r>
              <w:t xml:space="preserve">-2.338</w:t>
            </w:r>
            <w:r>
              <w:t xml:space="preserve">[-2.496,-2.184]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  <w:r>
              <w:t xml:space="preserve">[0.157,0.369]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-2.631</w:t>
            </w:r>
            <w:r>
              <w:t xml:space="preserve">[-2.796,-2.473]</w:t>
            </w:r>
          </w:p>
        </w:tc>
        <w:tc>
          <w:p>
            <w:pPr>
              <w:pStyle w:val="Compact"/>
              <w:jc w:val="right"/>
            </w:pPr>
            <w:r>
              <w:t xml:space="preserve">-2.772</w:t>
            </w:r>
            <w:r>
              <w:t xml:space="preserve">[-2.948,-2.591]</w:t>
            </w:r>
          </w:p>
        </w:tc>
        <w:tc>
          <w:p>
            <w:pPr>
              <w:pStyle w:val="Compact"/>
              <w:jc w:val="right"/>
            </w:pPr>
            <w:r>
              <w:t xml:space="preserve">-2.528</w:t>
            </w:r>
            <w:r>
              <w:t xml:space="preserve">[-2.679,-2.377]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  <w:r>
              <w:t xml:space="preserve">[0.137,0.351]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-2.617</w:t>
            </w:r>
            <w:r>
              <w:t xml:space="preserve">[-2.770,-2.469]</w:t>
            </w:r>
          </w:p>
        </w:tc>
        <w:tc>
          <w:p>
            <w:pPr>
              <w:pStyle w:val="Compact"/>
              <w:jc w:val="right"/>
            </w:pPr>
            <w:r>
              <w:t xml:space="preserve">-2.719</w:t>
            </w:r>
            <w:r>
              <w:t xml:space="preserve">[-2.904,-2.538]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  <w:r>
              <w:t xml:space="preserve">[-2.692,-2.378]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  <w:r>
              <w:t xml:space="preserve">[0.080,0.289]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-2.508</w:t>
            </w:r>
            <w:r>
              <w:t xml:space="preserve">[-2.662,-2.358]</w:t>
            </w:r>
          </w:p>
        </w:tc>
        <w:tc>
          <w:p>
            <w:pPr>
              <w:pStyle w:val="Compact"/>
              <w:jc w:val="right"/>
            </w:pPr>
            <w:r>
              <w:t xml:space="preserve">-2.567</w:t>
            </w:r>
            <w:r>
              <w:t xml:space="preserve">[-2.749,-2.391]</w:t>
            </w:r>
          </w:p>
        </w:tc>
        <w:tc>
          <w:p>
            <w:pPr>
              <w:pStyle w:val="Compact"/>
              <w:jc w:val="right"/>
            </w:pPr>
            <w:r>
              <w:t xml:space="preserve">-2.481</w:t>
            </w:r>
            <w:r>
              <w:t xml:space="preserve">[-2.636,-2.336]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  <w:r>
              <w:t xml:space="preserve">[-0.019,0.192]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-2.310</w:t>
            </w:r>
            <w:r>
              <w:t xml:space="preserve">[-2.464,-2.152]</w:t>
            </w:r>
          </w:p>
        </w:tc>
        <w:tc>
          <w:p>
            <w:pPr>
              <w:pStyle w:val="Compact"/>
              <w:jc w:val="right"/>
            </w:pPr>
            <w:r>
              <w:t xml:space="preserve">-2.383</w:t>
            </w:r>
            <w:r>
              <w:t xml:space="preserve">[-2.563,-2.207]</w:t>
            </w:r>
          </w:p>
        </w:tc>
        <w:tc>
          <w:p>
            <w:pPr>
              <w:pStyle w:val="Compact"/>
              <w:jc w:val="right"/>
            </w:pPr>
            <w:r>
              <w:t xml:space="preserve">-2.270</w:t>
            </w:r>
            <w:r>
              <w:t xml:space="preserve">[-2.419,-2.118]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  <w:r>
              <w:t xml:space="preserve">[0.012,0.220]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-1.919</w:t>
            </w:r>
            <w:r>
              <w:t xml:space="preserve">[-2.077,-1.765]</w:t>
            </w:r>
          </w:p>
        </w:tc>
        <w:tc>
          <w:p>
            <w:pPr>
              <w:pStyle w:val="Compact"/>
              <w:jc w:val="right"/>
            </w:pPr>
            <w:r>
              <w:t xml:space="preserve">-1.983</w:t>
            </w:r>
            <w:r>
              <w:t xml:space="preserve">[-2.169,-1.802]</w:t>
            </w:r>
          </w:p>
        </w:tc>
        <w:tc>
          <w:p>
            <w:pPr>
              <w:pStyle w:val="Compact"/>
              <w:jc w:val="right"/>
            </w:pPr>
            <w:r>
              <w:t xml:space="preserve">-1.878</w:t>
            </w:r>
            <w:r>
              <w:t xml:space="preserve">[-2.034,-1.730]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  <w:r>
              <w:t xml:space="preserve">[-0.002,0.212]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-0.258</w:t>
            </w:r>
            <w:r>
              <w:t xml:space="preserve">[-0.336,-0.181]</w:t>
            </w:r>
          </w:p>
        </w:tc>
        <w:tc>
          <w:p>
            <w:pPr>
              <w:pStyle w:val="Compact"/>
              <w:jc w:val="right"/>
            </w:pPr>
            <w:r>
              <w:t xml:space="preserve">-0.334</w:t>
            </w:r>
            <w:r>
              <w:t xml:space="preserve">[-0.421,-0.248]</w:t>
            </w:r>
          </w:p>
        </w:tc>
        <w:tc>
          <w:p>
            <w:pPr>
              <w:pStyle w:val="Compact"/>
              <w:jc w:val="right"/>
            </w:pPr>
            <w:r>
              <w:t xml:space="preserve">-0.184</w:t>
            </w:r>
            <w:r>
              <w:t xml:space="preserve">[-0.258,-0.108]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  <w:r>
              <w:t xml:space="preserve">[0.105,0.194]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p>
            <w:pPr>
              <w:pStyle w:val="Compact"/>
              <w:jc w:val="right"/>
            </w:pPr>
            <w:r>
              <w:t xml:space="preserve">-0.337</w:t>
            </w:r>
            <w:r>
              <w:t xml:space="preserve">[-0.415,-0.260]</w:t>
            </w:r>
          </w:p>
        </w:tc>
        <w:tc>
          <w:p>
            <w:pPr>
              <w:pStyle w:val="Compact"/>
              <w:jc w:val="right"/>
            </w:pPr>
            <w:r>
              <w:t xml:space="preserve">-0.287</w:t>
            </w:r>
            <w:r>
              <w:t xml:space="preserve">[-0.369,-0.199]</w:t>
            </w:r>
          </w:p>
        </w:tc>
        <w:tc>
          <w:p>
            <w:pPr>
              <w:pStyle w:val="Compact"/>
              <w:jc w:val="right"/>
            </w:pPr>
            <w:r>
              <w:t xml:space="preserve">-0.385</w:t>
            </w:r>
            <w:r>
              <w:t xml:space="preserve">[-0.458,-0.307]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  <w:r>
              <w:t xml:space="preserve">[-0.142,-0.054]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</w:t>
            </w:r>
          </w:p>
        </w:tc>
        <w:tc>
          <w:p>
            <w:pPr>
              <w:pStyle w:val="Compact"/>
              <w:jc w:val="right"/>
            </w:pPr>
            <w:r>
              <w:t xml:space="preserve">-1.248</w:t>
            </w:r>
            <w:r>
              <w:t xml:space="preserve">[-1.354,-1.146]</w:t>
            </w:r>
          </w:p>
        </w:tc>
        <w:tc>
          <w:p>
            <w:pPr>
              <w:pStyle w:val="Compact"/>
              <w:jc w:val="right"/>
            </w:pPr>
            <w:r>
              <w:t xml:space="preserve">-1.147</w:t>
            </w:r>
            <w:r>
              <w:t xml:space="preserve">[-1.274,-1.021]</w:t>
            </w:r>
          </w:p>
        </w:tc>
        <w:tc>
          <w:p>
            <w:pPr>
              <w:pStyle w:val="Compact"/>
              <w:jc w:val="right"/>
            </w:pPr>
            <w:r>
              <w:t xml:space="preserve">-1.365</w:t>
            </w:r>
            <w:r>
              <w:t xml:space="preserve">[-1.474,-1.257]</w:t>
            </w:r>
          </w:p>
        </w:tc>
        <w:tc>
          <w:p>
            <w:pPr>
              <w:pStyle w:val="Compact"/>
              <w:jc w:val="right"/>
            </w:pPr>
            <w:r>
              <w:t xml:space="preserve">-0.218</w:t>
            </w:r>
            <w:r>
              <w:t xml:space="preserve">[-0.280,-0.155]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Ltcare</w:t>
            </w:r>
          </w:p>
        </w:tc>
        <w:tc>
          <w:p>
            <w:pPr>
              <w:pStyle w:val="Compact"/>
              <w:jc w:val="right"/>
            </w:pPr>
            <w:r>
              <w:t xml:space="preserve">-0.248</w:t>
            </w:r>
            <w:r>
              <w:t xml:space="preserve">[-0.363,-0.139]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  <w:r>
              <w:t xml:space="preserve">[-0.204,0.041]</w:t>
            </w:r>
          </w:p>
        </w:tc>
        <w:tc>
          <w:p>
            <w:pPr>
              <w:pStyle w:val="Compact"/>
              <w:jc w:val="right"/>
            </w:pPr>
            <w:r>
              <w:t xml:space="preserve">-0.420</w:t>
            </w:r>
            <w:r>
              <w:t xml:space="preserve">[-0.528,-0.310]</w:t>
            </w:r>
          </w:p>
        </w:tc>
        <w:tc>
          <w:p>
            <w:pPr>
              <w:pStyle w:val="Compact"/>
              <w:jc w:val="right"/>
            </w:pPr>
            <w:r>
              <w:t xml:space="preserve">-0.338</w:t>
            </w:r>
            <w:r>
              <w:t xml:space="preserve">[-0.400,-0.275]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Oplace</w:t>
            </w:r>
          </w:p>
        </w:tc>
        <w:tc>
          <w:p>
            <w:pPr>
              <w:pStyle w:val="Compact"/>
              <w:jc w:val="right"/>
            </w:pPr>
            <w:r>
              <w:t xml:space="preserve">-0.982</w:t>
            </w:r>
            <w:r>
              <w:t xml:space="preserve">[-1.089,-0.871]</w:t>
            </w:r>
          </w:p>
        </w:tc>
        <w:tc>
          <w:p>
            <w:pPr>
              <w:pStyle w:val="Compact"/>
              <w:jc w:val="right"/>
            </w:pPr>
            <w:r>
              <w:t xml:space="preserve">-0.924</w:t>
            </w:r>
            <w:r>
              <w:t xml:space="preserve">[-1.049,-0.800]</w:t>
            </w:r>
          </w:p>
        </w:tc>
        <w:tc>
          <w:p>
            <w:pPr>
              <w:pStyle w:val="Compact"/>
              <w:jc w:val="right"/>
            </w:pPr>
            <w:r>
              <w:t xml:space="preserve">-1.043</w:t>
            </w:r>
            <w:r>
              <w:t xml:space="preserve">[-1.152,-0.934]</w:t>
            </w:r>
          </w:p>
        </w:tc>
        <w:tc>
          <w:p>
            <w:pPr>
              <w:pStyle w:val="Compact"/>
              <w:jc w:val="right"/>
            </w:pPr>
            <w:r>
              <w:t xml:space="preserve">-0.119</w:t>
            </w:r>
            <w:r>
              <w:t xml:space="preserve">[-0.179,-0.054]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  <w:r>
              <w:t xml:space="preserve">[0.143,0.301]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  <w:r>
              <w:t xml:space="preserve">[0.156,0.322]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  <w:r>
              <w:t xml:space="preserve">[0.121,0.271]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  <w:r>
              <w:t xml:space="preserve">[-0.086,0.001]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 2 Var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  <w:r>
              <w:t xml:space="preserve">[0.316,0.374]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  <w:r>
              <w:t xml:space="preserve">[0.342,0.406]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  <w:r>
              <w:t xml:space="preserve">[0.300,0.356]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  <w:r>
              <w:t xml:space="preserve">[-0.067,-0.023]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 2 Cell Var (</w:t>
            </w:r>
            <m:oMath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  <w:r>
              <w:t xml:space="preserve">[0.024,0.084]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  <w:r>
              <w:t xml:space="preserve">[0.002,0.012]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 2 Var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  <w:r>
              <w:t xml:space="preserve">[0.910,0.962]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 1 Var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  <w:r>
              <w:t xml:space="preserve">[0.260,0.274]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  <w:r>
              <w:t xml:space="preserve">[0.218,0.256]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Note: Mean estimates with 95% CI; fit can be input from model summaries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5c3a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