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In this exercise, we will examine a region of chromosome 8 (8q24) that has been implicated in colon cancer. Per the Stanford Personal Genomics lectures, we started with rs6983267 from the ceu population, expanding the window somewhat to see what we see.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str &lt;-(</w:t>
      </w:r>
      <w:r>
        <w:rPr>
          <w:rStyle w:val="StringTok"/>
        </w:rPr>
        <w:t xml:space="preserve">"../Data/rs6983267.ceu.vcf.gz"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KeywordTok"/>
        </w:rPr>
        <w:t xml:space="preserve">read.vcf</w:t>
      </w:r>
      <w:r>
        <w:rPr>
          <w:rStyle w:val="NormalTok"/>
        </w:rPr>
        <w:t xml:space="preserve">(str)</w:t>
      </w:r>
    </w:p>
    <w:p>
      <w:pPr>
        <w:pStyle w:val="SourceCode"/>
      </w:pPr>
      <w:r>
        <w:rPr>
          <w:rStyle w:val="VerbatimChar"/>
        </w:rPr>
        <w:t xml:space="preserve">## File apparently not yet accessed:</w:t>
      </w:r>
      <w:r>
        <w:br w:type="textWrapping"/>
      </w:r>
      <w:r>
        <w:rPr>
          <w:rStyle w:val="VerbatimChar"/>
        </w:rPr>
        <w:t xml:space="preserve">## Scanning file ../Data/rs6983267.ceu.vcf.gz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1.762995 Mb</w:t>
      </w:r>
      <w:r>
        <w:br w:type="textWrapping"/>
      </w:r>
      <w:r>
        <w:rPr>
          <w:rStyle w:val="VerbatimChar"/>
        </w:rPr>
        <w:t xml:space="preserve">## Done.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Reading 100 / 10000 loci</w:t>
      </w:r>
      <w:r>
        <w:br w:type="textWrapping"/>
      </w:r>
      <w:r>
        <w:rPr>
          <w:rStyle w:val="VerbatimChar"/>
        </w:rPr>
        <w:t xml:space="preserve">Reading 200 / 10000 loci</w:t>
      </w:r>
      <w:r>
        <w:br w:type="textWrapping"/>
      </w:r>
      <w:r>
        <w:rPr>
          <w:rStyle w:val="VerbatimChar"/>
        </w:rPr>
        <w:t xml:space="preserve">Reading 300 / 10000 loci</w:t>
      </w:r>
      <w:r>
        <w:br w:type="textWrapping"/>
      </w:r>
      <w:r>
        <w:rPr>
          <w:rStyle w:val="VerbatimChar"/>
        </w:rPr>
        <w:t xml:space="preserve">Reading 400 / 10000 loci</w:t>
      </w:r>
      <w:r>
        <w:br w:type="textWrapping"/>
      </w:r>
      <w:r>
        <w:rPr>
          <w:rStyle w:val="VerbatimChar"/>
        </w:rPr>
        <w:t xml:space="preserve">Reading 500 / 10000 loci</w:t>
      </w:r>
      <w:r>
        <w:br w:type="textWrapping"/>
      </w:r>
      <w:r>
        <w:rPr>
          <w:rStyle w:val="VerbatimChar"/>
        </w:rPr>
        <w:t xml:space="preserve">Reading 600 / 10000 loci</w:t>
      </w:r>
      <w:r>
        <w:br w:type="textWrapping"/>
      </w:r>
      <w:r>
        <w:rPr>
          <w:rStyle w:val="VerbatimChar"/>
        </w:rPr>
        <w:t xml:space="preserve">Reading 700 / 10000 loci</w:t>
      </w:r>
      <w:r>
        <w:br w:type="textWrapping"/>
      </w:r>
      <w:r>
        <w:rPr>
          <w:rStyle w:val="VerbatimChar"/>
        </w:rPr>
        <w:t xml:space="preserve">Reading 800 / 10000 loci</w:t>
      </w:r>
      <w:r>
        <w:br w:type="textWrapping"/>
      </w:r>
      <w:r>
        <w:rPr>
          <w:rStyle w:val="VerbatimChar"/>
        </w:rPr>
        <w:t xml:space="preserve">Reading 900 / 10000 loci</w:t>
      </w:r>
      <w:r>
        <w:br w:type="textWrapping"/>
      </w:r>
      <w:r>
        <w:rPr>
          <w:rStyle w:val="VerbatimChar"/>
        </w:rPr>
        <w:t xml:space="preserve">Reading 1000 / 10000 loci</w:t>
      </w:r>
      <w:r>
        <w:br w:type="textWrapping"/>
      </w:r>
      <w:r>
        <w:rPr>
          <w:rStyle w:val="VerbatimChar"/>
        </w:rPr>
        <w:t xml:space="preserve">Reading 1100 / 10000 loci</w:t>
      </w:r>
      <w:r>
        <w:br w:type="textWrapping"/>
      </w:r>
      <w:r>
        <w:rPr>
          <w:rStyle w:val="VerbatimChar"/>
        </w:rPr>
        <w:t xml:space="preserve">Reading 1200 / 10000 loci</w:t>
      </w:r>
      <w:r>
        <w:br w:type="textWrapping"/>
      </w:r>
      <w:r>
        <w:rPr>
          <w:rStyle w:val="VerbatimChar"/>
        </w:rPr>
        <w:t xml:space="preserve">Reading 1300 / 10000 loci</w:t>
      </w:r>
      <w:r>
        <w:br w:type="textWrapping"/>
      </w:r>
      <w:r>
        <w:rPr>
          <w:rStyle w:val="VerbatimChar"/>
        </w:rPr>
        <w:t xml:space="preserve">Reading 1400 / 10000 loci</w:t>
      </w:r>
      <w:r>
        <w:br w:type="textWrapping"/>
      </w:r>
      <w:r>
        <w:rPr>
          <w:rStyle w:val="VerbatimChar"/>
        </w:rPr>
        <w:t xml:space="preserve">Reading 1500 / 10000 loci</w:t>
      </w:r>
      <w:r>
        <w:br w:type="textWrapping"/>
      </w:r>
      <w:r>
        <w:rPr>
          <w:rStyle w:val="VerbatimChar"/>
        </w:rPr>
        <w:t xml:space="preserve">Reading 1600 / 10000 loci</w:t>
      </w:r>
      <w:r>
        <w:br w:type="textWrapping"/>
      </w:r>
      <w:r>
        <w:rPr>
          <w:rStyle w:val="VerbatimChar"/>
        </w:rPr>
        <w:t xml:space="preserve">Reading 1700 / 10000 loci</w:t>
      </w:r>
      <w:r>
        <w:br w:type="textWrapping"/>
      </w:r>
      <w:r>
        <w:rPr>
          <w:rStyle w:val="VerbatimChar"/>
        </w:rPr>
        <w:t xml:space="preserve">Reading 1800 / 10000 loci</w:t>
      </w:r>
      <w:r>
        <w:br w:type="textWrapping"/>
      </w:r>
      <w:r>
        <w:rPr>
          <w:rStyle w:val="VerbatimChar"/>
        </w:rPr>
        <w:t xml:space="preserve">Reading 1900 / 10000 loci</w:t>
      </w:r>
      <w:r>
        <w:br w:type="textWrapping"/>
      </w:r>
      <w:r>
        <w:rPr>
          <w:rStyle w:val="VerbatimChar"/>
        </w:rPr>
        <w:t xml:space="preserve">Reading 2000 / 10000 loci</w:t>
      </w:r>
      <w:r>
        <w:br w:type="textWrapping"/>
      </w:r>
      <w:r>
        <w:rPr>
          <w:rStyle w:val="VerbatimChar"/>
        </w:rPr>
        <w:t xml:space="preserve">Reading 2100 / 10000 loci</w:t>
      </w:r>
      <w:r>
        <w:br w:type="textWrapping"/>
      </w:r>
      <w:r>
        <w:rPr>
          <w:rStyle w:val="VerbatimChar"/>
        </w:rPr>
        <w:t xml:space="preserve">Reading 2200 / 10000 loci</w:t>
      </w:r>
      <w:r>
        <w:br w:type="textWrapping"/>
      </w:r>
      <w:r>
        <w:rPr>
          <w:rStyle w:val="VerbatimChar"/>
        </w:rPr>
        <w:t xml:space="preserve">Reading 2300 / 10000 loci</w:t>
      </w:r>
      <w:r>
        <w:br w:type="textWrapping"/>
      </w:r>
      <w:r>
        <w:rPr>
          <w:rStyle w:val="VerbatimChar"/>
        </w:rPr>
        <w:t xml:space="preserve">Reading 2400 / 10000 loci</w:t>
      </w:r>
      <w:r>
        <w:br w:type="textWrapping"/>
      </w:r>
      <w:r>
        <w:rPr>
          <w:rStyle w:val="VerbatimChar"/>
        </w:rPr>
        <w:t xml:space="preserve">Reading 2500 / 10000 loci</w:t>
      </w:r>
      <w:r>
        <w:br w:type="textWrapping"/>
      </w:r>
      <w:r>
        <w:rPr>
          <w:rStyle w:val="VerbatimChar"/>
        </w:rPr>
        <w:t xml:space="preserve">Reading 2600 / 10000 loci</w:t>
      </w:r>
      <w:r>
        <w:br w:type="textWrapping"/>
      </w:r>
      <w:r>
        <w:rPr>
          <w:rStyle w:val="VerbatimChar"/>
        </w:rPr>
        <w:t xml:space="preserve">Reading 2700 / 10000 loci</w:t>
      </w:r>
      <w:r>
        <w:br w:type="textWrapping"/>
      </w:r>
      <w:r>
        <w:rPr>
          <w:rStyle w:val="VerbatimChar"/>
        </w:rPr>
        <w:t xml:space="preserve">Reading 2800 / 10000 loci</w:t>
      </w:r>
      <w:r>
        <w:br w:type="textWrapping"/>
      </w:r>
      <w:r>
        <w:rPr>
          <w:rStyle w:val="VerbatimChar"/>
        </w:rPr>
        <w:t xml:space="preserve">Reading 2900 / 10000 loci</w:t>
      </w:r>
      <w:r>
        <w:br w:type="textWrapping"/>
      </w:r>
      <w:r>
        <w:rPr>
          <w:rStyle w:val="VerbatimChar"/>
        </w:rPr>
        <w:t xml:space="preserve">Reading 3000 / 10000 loci</w:t>
      </w:r>
      <w:r>
        <w:br w:type="textWrapping"/>
      </w:r>
      <w:r>
        <w:rPr>
          <w:rStyle w:val="VerbatimChar"/>
        </w:rPr>
        <w:t xml:space="preserve">Reading 3100 / 10000 loci</w:t>
      </w:r>
      <w:r>
        <w:br w:type="textWrapping"/>
      </w:r>
      <w:r>
        <w:rPr>
          <w:rStyle w:val="VerbatimChar"/>
        </w:rPr>
        <w:t xml:space="preserve">Reading 3179 / 3179 loci.</w:t>
      </w:r>
      <w:r>
        <w:br w:type="textWrapping"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NormalTok"/>
        </w:rPr>
        <w:t xml:space="preserve">dat.info &lt;-</w:t>
      </w:r>
      <w:r>
        <w:rPr>
          <w:rStyle w:val="KeywordTok"/>
        </w:rPr>
        <w:t xml:space="preserve">VCFloci</w:t>
      </w:r>
      <w:r>
        <w:rPr>
          <w:rStyle w:val="NormalTok"/>
        </w:rPr>
        <w:t xml:space="preserve">(str)</w:t>
      </w:r>
    </w:p>
    <w:p>
      <w:pPr>
        <w:pStyle w:val="SourceCode"/>
      </w:pPr>
      <w:r>
        <w:rPr>
          <w:rStyle w:val="VerbatimChar"/>
        </w:rPr>
        <w:t xml:space="preserve">## Scanning file ../Data/rs6983267.ceu.vcf.gz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1.762995 Mb</w:t>
      </w:r>
      <w:r>
        <w:br w:type="textWrapping"/>
      </w:r>
      <w:r>
        <w:rPr>
          <w:rStyle w:val="VerbatimChar"/>
        </w:rPr>
        <w:t xml:space="preserve">## Done.</w:t>
      </w:r>
    </w:p>
    <w:p>
      <w:pPr>
        <w:pStyle w:val="FirstParagraph"/>
      </w:pPr>
      <w:r>
        <w:t xml:space="preserve">Pretty good set of loci. Now, how to visualize?</w:t>
      </w:r>
    </w:p>
    <w:p>
      <w:pPr>
        <w:pStyle w:val="BodyText"/>
      </w:pPr>
      <w:r>
        <w:t xml:space="preserve">Let's start by subsetting, taking a random sample of 100 SNPs and 20 inviduals:</w:t>
      </w:r>
    </w:p>
    <w:p>
      <w:pPr>
        <w:pStyle w:val="SourceCode"/>
      </w:pPr>
      <w:r>
        <w:rPr>
          <w:rStyle w:val="NormalTok"/>
        </w:rPr>
        <w:t xml:space="preserve">snp.sub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samp.sub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dat.sub &lt;-dat[samp.sub,snp.sub]</w:t>
      </w:r>
    </w:p>
    <w:p>
      <w:pPr>
        <w:pStyle w:val="SourceCode"/>
      </w:pPr>
      <w:r>
        <w:rPr>
          <w:rStyle w:val="NormalTok"/>
        </w:rPr>
        <w:t xml:space="preserve">sm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(dat.sub)</w:t>
      </w:r>
    </w:p>
    <w:p>
      <w:pPr>
        <w:pStyle w:val="FirstParagraph"/>
      </w:pPr>
      <w:r>
        <w:t xml:space="preserve">Here's a possibility. Start with the whole database and get the ones with more than one allele</w:t>
      </w:r>
    </w:p>
    <w:p>
      <w:pPr>
        <w:pStyle w:val="SourceCode"/>
      </w:pPr>
      <w:r>
        <w:rPr>
          <w:rStyle w:val="NormalTok"/>
        </w:rPr>
        <w:t xml:space="preserve">als &lt;-</w:t>
      </w:r>
      <w:r>
        <w:rPr>
          <w:rStyle w:val="KeywordTok"/>
        </w:rPr>
        <w:t xml:space="preserve">getAlleles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poly2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(als,length)</w:t>
      </w:r>
    </w:p>
    <w:p>
      <w:pPr>
        <w:pStyle w:val="FirstParagraph"/>
      </w:pPr>
      <w:r>
        <w:t xml:space="preserve">OK. Now get a subset of polymorphisms</w:t>
      </w:r>
    </w:p>
    <w:p>
      <w:pPr>
        <w:pStyle w:val="SourceCode"/>
      </w:pPr>
      <w:r>
        <w:rPr>
          <w:rStyle w:val="NormalTok"/>
        </w:rPr>
        <w:t xml:space="preserve">loc.poly 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(poly2==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Superb. Now subset dat by that</w:t>
      </w:r>
    </w:p>
    <w:p>
      <w:pPr>
        <w:pStyle w:val="SourceCode"/>
      </w:pPr>
      <w:r>
        <w:rPr>
          <w:rStyle w:val="NormalTok"/>
        </w:rPr>
        <w:t xml:space="preserve">dat.sub &lt;-dat[,loc.poly]</w:t>
      </w:r>
    </w:p>
    <w:p>
      <w:pPr>
        <w:pStyle w:val="FirstParagraph"/>
      </w:pPr>
      <w:r>
        <w:t xml:space="preserve">Now we can visualize a chunk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rs112983285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rs283727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rs72728054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rs283728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rs72728056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rs111478046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rs541641381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rs16902085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rs4871015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rs34882299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NA06984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NA06985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NA06986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NA06989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A|T</w:t>
            </w:r>
          </w:p>
        </w:tc>
        <w:tc>
          <w:p>
            <w:pPr>
              <w:pStyle w:val="Compact"/>
              <w:jc w:val="left"/>
            </w:pPr>
            <w:r>
              <w:t xml:space="preserve">T|C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NA06994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NA07000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NA07037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NA07048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NA07051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NA07056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NA07347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NA07357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NA10847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A|T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NA10851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NA11829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NA11830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A|T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NA11831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NA11832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NA11840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NA11843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T|T</w:t>
            </w:r>
          </w:p>
        </w:tc>
        <w:tc>
          <w:p>
            <w:pPr>
              <w:pStyle w:val="Compact"/>
              <w:jc w:val="left"/>
            </w:pPr>
            <w:r>
              <w:t xml:space="preserve">T|A</w:t>
            </w:r>
          </w:p>
        </w:tc>
        <w:tc>
          <w:p>
            <w:pPr>
              <w:pStyle w:val="Compact"/>
              <w:jc w:val="left"/>
            </w:pPr>
            <w:r>
              <w:t xml:space="preserve">C|C</w:t>
            </w:r>
          </w:p>
        </w:tc>
        <w:tc>
          <w:p>
            <w:pPr>
              <w:pStyle w:val="Compact"/>
              <w:jc w:val="left"/>
            </w:pPr>
            <w:r>
              <w:t xml:space="preserve">TG|TG</w:t>
            </w:r>
          </w:p>
        </w:tc>
        <w:tc>
          <w:p>
            <w:pPr>
              <w:pStyle w:val="Compact"/>
              <w:jc w:val="left"/>
            </w:pPr>
            <w:r>
              <w:t xml:space="preserve">G|G</w:t>
            </w:r>
          </w:p>
        </w:tc>
        <w:tc>
          <w:p>
            <w:pPr>
              <w:pStyle w:val="Compact"/>
              <w:jc w:val="left"/>
            </w:pPr>
            <w:r>
              <w:t xml:space="preserve">A|A</w:t>
            </w:r>
          </w:p>
        </w:tc>
        <w:tc>
          <w:p>
            <w:pPr>
              <w:pStyle w:val="Compact"/>
              <w:jc w:val="left"/>
            </w:pPr>
            <w:r>
              <w:t xml:space="preserve">G|A</w:t>
            </w:r>
          </w:p>
        </w:tc>
        <w:tc>
          <w:p>
            <w:pPr>
              <w:pStyle w:val="Compact"/>
              <w:jc w:val="left"/>
            </w:pPr>
            <w:r>
              <w:t xml:space="preserve">A|G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4bc7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