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waia-legal-documentation-pack"/>
    <w:p>
      <w:pPr>
        <w:pStyle w:val="Heading1"/>
      </w:pPr>
      <w:r>
        <w:t xml:space="preserve">19.2 / WAIA Legal Documentation Pack</w:t>
      </w:r>
    </w:p>
    <w:p>
      <w:pPr>
        <w:pStyle w:val="FirstParagraph"/>
      </w:pPr>
      <w:r>
        <w:rPr>
          <w:b/>
          <w:bCs/>
        </w:rPr>
        <w:t xml:space="preserve">Status:</w:t>
      </w:r>
      <w:r>
        <w:t xml:space="preserve"> </w:t>
      </w:r>
      <w:r>
        <w:t xml:space="preserve">Working draft for solicitor review</w:t>
      </w:r>
      <w:r>
        <w:br/>
      </w:r>
      <w:r>
        <w:rPr>
          <w:b/>
          <w:bCs/>
        </w:rPr>
        <w:t xml:space="preserve">Version:</w:t>
      </w:r>
      <w:r>
        <w:t xml:space="preserve"> </w:t>
      </w:r>
      <w:r>
        <w:t xml:space="preserve">0.3</w:t>
      </w:r>
      <w:r>
        <w:br/>
      </w:r>
      <w:r>
        <w:rPr>
          <w:b/>
          <w:bCs/>
        </w:rPr>
        <w:t xml:space="preserve">Last updated:</w:t>
      </w:r>
      <w:r>
        <w:t xml:space="preserve"> </w:t>
      </w:r>
      <w:r>
        <w:t xml:space="preserve">27 May 2026</w:t>
      </w:r>
      <w:r>
        <w:br/>
      </w:r>
      <w:r>
        <w:rPr>
          <w:b/>
          <w:bCs/>
        </w:rPr>
        <w:t xml:space="preserve">Owner:</w:t>
      </w:r>
      <w:r>
        <w:t xml:space="preserve"> </w:t>
      </w:r>
      <w:r>
        <w:t xml:space="preserve">Nineteen Point Two / 19.2</w:t>
      </w:r>
      <w:r>
        <w:br/>
      </w:r>
      <w:r>
        <w:rPr>
          <w:b/>
          <w:bCs/>
        </w:rPr>
        <w:t xml:space="preserve">Product:</w:t>
      </w:r>
      <w:r>
        <w:t xml:space="preserve"> </w:t>
      </w:r>
      <w:r>
        <w:t xml:space="preserve">Workplace AI Academy, referred to in this pack as WAIA</w:t>
      </w:r>
    </w:p>
    <w:bookmarkStart w:id="20" w:name="important-drafting-note"/>
    <w:p>
      <w:pPr>
        <w:pStyle w:val="Heading2"/>
      </w:pPr>
      <w:r>
        <w:t xml:space="preserve">Important drafting note</w:t>
      </w:r>
    </w:p>
    <w:p>
      <w:pPr>
        <w:pStyle w:val="FirstParagraph"/>
      </w:pPr>
      <w:r>
        <w:t xml:space="preserve">This pack is drafted for operational and commercial readiness. It is not a substitute for legal advice. Before publication or use with enterprise customers, it should be reviewed by a UK solicitor with data protection and SaaS contracting experience.</w:t>
      </w:r>
    </w:p>
    <w:p>
      <w:pPr>
        <w:pStyle w:val="BodyText"/>
      </w:pPr>
      <w:r>
        <w:t xml:space="preserve">Several items are marked</w:t>
      </w:r>
      <w:r>
        <w:t xml:space="preserve"> </w:t>
      </w:r>
      <w:r>
        <w:rPr>
          <w:b/>
          <w:bCs/>
        </w:rPr>
        <w:t xml:space="preserve">[confirm]</w:t>
      </w:r>
      <w:r>
        <w:t xml:space="preserve"> </w:t>
      </w:r>
      <w:r>
        <w:t xml:space="preserve">because they depend on the exact current production setup, hosting configuration, supplier chain and operational support process.</w:t>
      </w:r>
    </w:p>
    <w:bookmarkEnd w:id="20"/>
    <w:bookmarkStart w:id="21" w:name="X23e702f68150f3e51df1564a9933cab78f533a9"/>
    <w:p>
      <w:pPr>
        <w:pStyle w:val="Heading2"/>
      </w:pPr>
      <w:r>
        <w:t xml:space="preserve">Confirmed working facts as at 27 May 2026</w:t>
      </w:r>
    </w:p>
    <w:p>
      <w:pPr>
        <w:pStyle w:val="Compact"/>
        <w:numPr>
          <w:ilvl w:val="0"/>
          <w:numId w:val="1001"/>
        </w:numPr>
      </w:pPr>
      <w:r>
        <w:t xml:space="preserve">The contracting entity is Nineteen Point Two Limited.</w:t>
      </w:r>
    </w:p>
    <w:p>
      <w:pPr>
        <w:pStyle w:val="Compact"/>
        <w:numPr>
          <w:ilvl w:val="0"/>
          <w:numId w:val="1001"/>
        </w:numPr>
      </w:pPr>
      <w:r>
        <w:t xml:space="preserve">Company number: 15905276.</w:t>
      </w:r>
    </w:p>
    <w:p>
      <w:pPr>
        <w:pStyle w:val="Compact"/>
        <w:numPr>
          <w:ilvl w:val="0"/>
          <w:numId w:val="1001"/>
        </w:numPr>
      </w:pPr>
      <w:r>
        <w:t xml:space="preserve">Registered office: C/O James Todd &amp; Co Furzehall Farm, 110 Wickham Road, Fareham, Hampshire, United Kingdom, PO16 7JH.</w:t>
      </w:r>
    </w:p>
    <w:p>
      <w:pPr>
        <w:pStyle w:val="Compact"/>
        <w:numPr>
          <w:ilvl w:val="0"/>
          <w:numId w:val="1001"/>
        </w:numPr>
      </w:pPr>
      <w:r>
        <w:t xml:space="preserve">Primary privacy, security, commercial and legal contact: ben@nineteenpointtwo.com.</w:t>
      </w:r>
    </w:p>
    <w:p>
      <w:pPr>
        <w:pStyle w:val="Compact"/>
        <w:numPr>
          <w:ilvl w:val="0"/>
          <w:numId w:val="1001"/>
        </w:numPr>
      </w:pPr>
      <w:r>
        <w:t xml:space="preserve">WAIA is currently understood to be hosted through Lovable, with Supabase providing database, authentication and related platform services.</w:t>
      </w:r>
    </w:p>
    <w:p>
      <w:pPr>
        <w:pStyle w:val="Compact"/>
        <w:numPr>
          <w:ilvl w:val="0"/>
          <w:numId w:val="1001"/>
        </w:numPr>
      </w:pPr>
      <w:r>
        <w:t xml:space="preserve">WAIA emails are currently understood to be sent through Lovable and/or Supabase services.</w:t>
      </w:r>
    </w:p>
    <w:p>
      <w:pPr>
        <w:pStyle w:val="Compact"/>
        <w:numPr>
          <w:ilvl w:val="0"/>
          <w:numId w:val="1001"/>
        </w:numPr>
      </w:pPr>
      <w:r>
        <w:t xml:space="preserve">Nineteen Point Two uses both Google Workspace and Microsoft 365 for business operations.</w:t>
      </w:r>
    </w:p>
    <w:p>
      <w:pPr>
        <w:pStyle w:val="Compact"/>
        <w:numPr>
          <w:ilvl w:val="0"/>
          <w:numId w:val="1001"/>
        </w:numPr>
      </w:pPr>
      <w:r>
        <w:t xml:space="preserve">The website currently uses Google Search Console only, with no Google Analytics, ad pixels or other analytics tools known to be active.</w:t>
      </w:r>
    </w:p>
    <w:p>
      <w:pPr>
        <w:pStyle w:val="Compact"/>
        <w:numPr>
          <w:ilvl w:val="0"/>
          <w:numId w:val="1001"/>
        </w:numPr>
      </w:pPr>
      <w:r>
        <w:t xml:space="preserve">Customer invoices will be issued with 30-day payment terms.</w:t>
      </w:r>
    </w:p>
    <w:p>
      <w:pPr>
        <w:pStyle w:val="Compact"/>
        <w:numPr>
          <w:ilvl w:val="0"/>
          <w:numId w:val="1001"/>
        </w:numPr>
      </w:pPr>
      <w:r>
        <w:t xml:space="preserve">WAIA customer access starts from the invoice date unless otherwise agreed in writing.</w:t>
      </w:r>
    </w:p>
    <w:p>
      <w:pPr>
        <w:pStyle w:val="Compact"/>
        <w:numPr>
          <w:ilvl w:val="0"/>
          <w:numId w:val="1001"/>
        </w:numPr>
      </w:pPr>
      <w:r>
        <w:t xml:space="preserve">Default retention and deletion settings in this draft use a practical, low-maintenance SaaS position and should be reviewed before larger enterprise deals.</w:t>
      </w:r>
    </w:p>
    <w:p>
      <w:r>
        <w:pict>
          <v:rect style="width:0;height:1.5pt" o:hralign="center" o:hrstd="t" o:hr="t"/>
        </w:pict>
      </w:r>
    </w:p>
    <w:bookmarkEnd w:id="21"/>
    <w:bookmarkEnd w:id="22"/>
    <w:bookmarkStart w:id="32" w:name="legal-hub-page"/>
    <w:p>
      <w:pPr>
        <w:pStyle w:val="Heading1"/>
      </w:pPr>
      <w:r>
        <w:t xml:space="preserve">1. Legal Hub Page</w:t>
      </w:r>
    </w:p>
    <w:p>
      <w:pPr>
        <w:pStyle w:val="FirstParagraph"/>
      </w:pPr>
      <w:r>
        <w:rPr>
          <w:b/>
          <w:bCs/>
        </w:rPr>
        <w:t xml:space="preserve">Suggested route:</w:t>
      </w:r>
      <w:r>
        <w:t xml:space="preserve"> </w:t>
      </w:r>
      <w:r>
        <w:rPr>
          <w:rStyle w:val="VerbatimChar"/>
        </w:rPr>
        <w:t xml:space="preserve">/legal/</w:t>
      </w:r>
    </w:p>
    <w:bookmarkStart w:id="23" w:name="legal-and-data-protection-information"/>
    <w:p>
      <w:pPr>
        <w:pStyle w:val="Heading2"/>
      </w:pPr>
      <w:r>
        <w:t xml:space="preserve">Legal and data protection information</w:t>
      </w:r>
    </w:p>
    <w:p>
      <w:pPr>
        <w:pStyle w:val="FirstParagraph"/>
      </w:pPr>
      <w:r>
        <w:t xml:space="preserve">Nineteen Point Two provides practical operating systems, advisory services and workplace AI adoption tools, including WAIA, the Workplace AI Academy.</w:t>
      </w:r>
    </w:p>
    <w:p>
      <w:pPr>
        <w:pStyle w:val="BodyText"/>
      </w:pPr>
      <w:r>
        <w:t xml:space="preserve">This page brings together the key legal, privacy and data protection documents that explain how we operate, how we handle personal data, and the terms that apply to WAIA.</w:t>
      </w:r>
    </w:p>
    <w:bookmarkEnd w:id="23"/>
    <w:bookmarkStart w:id="30" w:name="documents"/>
    <w:p>
      <w:pPr>
        <w:pStyle w:val="Heading2"/>
      </w:pPr>
      <w:r>
        <w:t xml:space="preserve">Documents</w:t>
      </w:r>
    </w:p>
    <w:bookmarkStart w:id="24" w:name="privacy-notice"/>
    <w:p>
      <w:pPr>
        <w:pStyle w:val="Heading3"/>
      </w:pPr>
      <w:r>
        <w:t xml:space="preserve">Privacy Notice</w:t>
      </w:r>
    </w:p>
    <w:p>
      <w:pPr>
        <w:pStyle w:val="FirstParagraph"/>
      </w:pPr>
      <w:r>
        <w:t xml:space="preserve">Explains how Nineteen Point Two collects, uses, stores and shares personal data across its website, sales activity, advisory work, customer relationships and WAIA.</w:t>
      </w:r>
    </w:p>
    <w:p>
      <w:pPr>
        <w:pStyle w:val="BodyText"/>
      </w:pPr>
      <w:r>
        <w:rPr>
          <w:b/>
          <w:bCs/>
        </w:rPr>
        <w:t xml:space="preserve">Link:</w:t>
      </w:r>
      <w:r>
        <w:t xml:space="preserve"> </w:t>
      </w:r>
      <w:r>
        <w:rPr>
          <w:rStyle w:val="VerbatimChar"/>
        </w:rPr>
        <w:t xml:space="preserve">/privacy/</w:t>
      </w:r>
    </w:p>
    <w:bookmarkEnd w:id="24"/>
    <w:bookmarkStart w:id="25" w:name="cookie-notice"/>
    <w:p>
      <w:pPr>
        <w:pStyle w:val="Heading3"/>
      </w:pPr>
      <w:r>
        <w:t xml:space="preserve">Cookie Notice</w:t>
      </w:r>
    </w:p>
    <w:p>
      <w:pPr>
        <w:pStyle w:val="FirstParagraph"/>
      </w:pPr>
      <w:r>
        <w:t xml:space="preserve">Explains how cookies and similar technologies are used on the Nineteen Point Two website and WAIA platform.</w:t>
      </w:r>
    </w:p>
    <w:p>
      <w:pPr>
        <w:pStyle w:val="BodyText"/>
      </w:pPr>
      <w:r>
        <w:rPr>
          <w:b/>
          <w:bCs/>
        </w:rPr>
        <w:t xml:space="preserve">Link:</w:t>
      </w:r>
      <w:r>
        <w:t xml:space="preserve"> </w:t>
      </w:r>
      <w:r>
        <w:rPr>
          <w:rStyle w:val="VerbatimChar"/>
        </w:rPr>
        <w:t xml:space="preserve">/cookies/</w:t>
      </w:r>
    </w:p>
    <w:bookmarkEnd w:id="25"/>
    <w:bookmarkStart w:id="26" w:name="waia-terms-of-service"/>
    <w:p>
      <w:pPr>
        <w:pStyle w:val="Heading3"/>
      </w:pPr>
      <w:r>
        <w:t xml:space="preserve">WAIA Terms of Service</w:t>
      </w:r>
    </w:p>
    <w:p>
      <w:pPr>
        <w:pStyle w:val="FirstParagraph"/>
      </w:pPr>
      <w:r>
        <w:t xml:space="preserve">Sets out the commercial and usage terms that apply to customer access to WAIA.</w:t>
      </w:r>
    </w:p>
    <w:p>
      <w:pPr>
        <w:pStyle w:val="BodyText"/>
      </w:pPr>
      <w:r>
        <w:rPr>
          <w:b/>
          <w:bCs/>
        </w:rPr>
        <w:t xml:space="preserve">Link:</w:t>
      </w:r>
      <w:r>
        <w:t xml:space="preserve"> </w:t>
      </w:r>
      <w:r>
        <w:rPr>
          <w:rStyle w:val="VerbatimChar"/>
        </w:rPr>
        <w:t xml:space="preserve">/waia-terms/</w:t>
      </w:r>
    </w:p>
    <w:bookmarkEnd w:id="26"/>
    <w:bookmarkStart w:id="27" w:name="data-processing-agreement"/>
    <w:p>
      <w:pPr>
        <w:pStyle w:val="Heading3"/>
      </w:pPr>
      <w:r>
        <w:t xml:space="preserve">Data Processing Agreement</w:t>
      </w:r>
    </w:p>
    <w:p>
      <w:pPr>
        <w:pStyle w:val="FirstParagraph"/>
      </w:pPr>
      <w:r>
        <w:t xml:space="preserve">Sets out the controller and processor obligations for customer learner data processed through WAIA.</w:t>
      </w:r>
    </w:p>
    <w:p>
      <w:pPr>
        <w:pStyle w:val="BodyText"/>
      </w:pPr>
      <w:r>
        <w:rPr>
          <w:b/>
          <w:bCs/>
        </w:rPr>
        <w:t xml:space="preserve">Link:</w:t>
      </w:r>
      <w:r>
        <w:t xml:space="preserve"> </w:t>
      </w:r>
      <w:r>
        <w:rPr>
          <w:rStyle w:val="VerbatimChar"/>
        </w:rPr>
        <w:t xml:space="preserve">/data-processing-agreement/</w:t>
      </w:r>
    </w:p>
    <w:bookmarkEnd w:id="27"/>
    <w:bookmarkStart w:id="28" w:name="subprocessor-list"/>
    <w:p>
      <w:pPr>
        <w:pStyle w:val="Heading3"/>
      </w:pPr>
      <w:r>
        <w:t xml:space="preserve">Subprocessor List</w:t>
      </w:r>
    </w:p>
    <w:p>
      <w:pPr>
        <w:pStyle w:val="FirstParagraph"/>
      </w:pPr>
      <w:r>
        <w:t xml:space="preserve">Lists the third-party providers used to host, operate, support, secure and improve WAIA where they may process customer personal data.</w:t>
      </w:r>
    </w:p>
    <w:p>
      <w:pPr>
        <w:pStyle w:val="BodyText"/>
      </w:pPr>
      <w:r>
        <w:rPr>
          <w:b/>
          <w:bCs/>
        </w:rPr>
        <w:t xml:space="preserve">Link:</w:t>
      </w:r>
      <w:r>
        <w:t xml:space="preserve"> </w:t>
      </w:r>
      <w:r>
        <w:rPr>
          <w:rStyle w:val="VerbatimChar"/>
        </w:rPr>
        <w:t xml:space="preserve">/subprocessors/</w:t>
      </w:r>
    </w:p>
    <w:bookmarkEnd w:id="28"/>
    <w:bookmarkStart w:id="29" w:name="waia-product-and-ai-use-statement"/>
    <w:p>
      <w:pPr>
        <w:pStyle w:val="Heading3"/>
      </w:pPr>
      <w:r>
        <w:t xml:space="preserve">WAIA Product and AI Use Statement</w:t>
      </w:r>
    </w:p>
    <w:p>
      <w:pPr>
        <w:pStyle w:val="FirstParagraph"/>
      </w:pPr>
      <w:r>
        <w:t xml:space="preserve">Explains what WAIA does, what it does not do, and how AI-related functionality is handled.</w:t>
      </w:r>
    </w:p>
    <w:p>
      <w:pPr>
        <w:pStyle w:val="BodyText"/>
      </w:pPr>
      <w:r>
        <w:rPr>
          <w:b/>
          <w:bCs/>
        </w:rPr>
        <w:t xml:space="preserve">Link:</w:t>
      </w:r>
      <w:r>
        <w:t xml:space="preserve"> </w:t>
      </w:r>
      <w:r>
        <w:rPr>
          <w:rStyle w:val="VerbatimChar"/>
        </w:rPr>
        <w:t xml:space="preserve">/waia-ai-use-statement/</w:t>
      </w:r>
    </w:p>
    <w:bookmarkEnd w:id="29"/>
    <w:bookmarkEnd w:id="30"/>
    <w:bookmarkStart w:id="31" w:name="contact"/>
    <w:p>
      <w:pPr>
        <w:pStyle w:val="Heading2"/>
      </w:pPr>
      <w:r>
        <w:t xml:space="preserve">Contact</w:t>
      </w:r>
    </w:p>
    <w:p>
      <w:pPr>
        <w:pStyle w:val="FirstParagraph"/>
      </w:pPr>
      <w:r>
        <w:t xml:space="preserve">For privacy or data protection questions, contact:</w:t>
      </w:r>
      <w:r>
        <w:t xml:space="preserve"> </w:t>
      </w:r>
      <w:r>
        <w:rPr>
          <w:b/>
          <w:bCs/>
        </w:rPr>
        <w:t xml:space="preserve">ben@nineteenpointtwo.com</w:t>
      </w:r>
      <w:r>
        <w:t xml:space="preserve">.</w:t>
      </w:r>
    </w:p>
    <w:p>
      <w:pPr>
        <w:pStyle w:val="BodyText"/>
      </w:pPr>
      <w:r>
        <w:t xml:space="preserve">For commercial or contractual questions, contact:</w:t>
      </w:r>
      <w:r>
        <w:t xml:space="preserve"> </w:t>
      </w:r>
      <w:r>
        <w:rPr>
          <w:b/>
          <w:bCs/>
        </w:rPr>
        <w:t xml:space="preserve">ben@nineteenpointtwo.com</w:t>
      </w:r>
      <w:r>
        <w:t xml:space="preserve">.</w:t>
      </w:r>
    </w:p>
    <w:p>
      <w:r>
        <w:pict>
          <v:rect style="width:0;height:1.5pt" o:hralign="center" o:hrstd="t" o:hr="t"/>
        </w:pict>
      </w:r>
    </w:p>
    <w:bookmarkEnd w:id="31"/>
    <w:bookmarkEnd w:id="32"/>
    <w:bookmarkStart w:id="40" w:name="privacy-and-data-handling-summary"/>
    <w:p>
      <w:pPr>
        <w:pStyle w:val="Heading1"/>
      </w:pPr>
      <w:r>
        <w:t xml:space="preserve">2. Privacy and Data Handling Summary</w:t>
      </w:r>
    </w:p>
    <w:p>
      <w:pPr>
        <w:pStyle w:val="FirstParagraph"/>
      </w:pPr>
      <w:r>
        <w:rPr>
          <w:b/>
          <w:bCs/>
        </w:rPr>
        <w:t xml:space="preserve">Suggested use:</w:t>
      </w:r>
      <w:r>
        <w:t xml:space="preserve"> </w:t>
      </w:r>
      <w:r>
        <w:t xml:space="preserve">Prospect-facing one-page summary. This can sit on</w:t>
      </w:r>
      <w:r>
        <w:t xml:space="preserve"> </w:t>
      </w:r>
      <w:r>
        <w:rPr>
          <w:rStyle w:val="VerbatimChar"/>
        </w:rPr>
        <w:t xml:space="preserve">/legal/</w:t>
      </w:r>
      <w:r>
        <w:t xml:space="preserve"> </w:t>
      </w:r>
      <w:r>
        <w:t xml:space="preserve">or be sent during sales conversations.</w:t>
      </w:r>
    </w:p>
    <w:bookmarkStart w:id="33" w:name="waia-privacy-and-data-handling-summary"/>
    <w:p>
      <w:pPr>
        <w:pStyle w:val="Heading2"/>
      </w:pPr>
      <w:r>
        <w:t xml:space="preserve">WAIA privacy and data handling summary</w:t>
      </w:r>
    </w:p>
    <w:p>
      <w:pPr>
        <w:pStyle w:val="FirstParagraph"/>
      </w:pPr>
      <w:r>
        <w:t xml:space="preserve">WAIA is provided by Nineteen Point Two to help organisations support workplace AI literacy, practical guidance, learner acknowledgement and organisational visibility.</w:t>
      </w:r>
    </w:p>
    <w:p>
      <w:pPr>
        <w:pStyle w:val="BodyText"/>
      </w:pPr>
      <w:r>
        <w:t xml:space="preserve">For most customer deployments, the customer organisation is the controller for its workforce and learner data. This means the customer decides who is invited to WAIA, what learning or guidance is assigned, and how resulting evidence is used internally.</w:t>
      </w:r>
    </w:p>
    <w:p>
      <w:pPr>
        <w:pStyle w:val="BodyText"/>
      </w:pPr>
      <w:r>
        <w:t xml:space="preserve">Nineteen Point Two acts as processor for WAIA learner data. We process that data to provide the platform, manage learner access, record course progress, record acknowledgements, provide administrator reporting and support the service.</w:t>
      </w:r>
    </w:p>
    <w:p>
      <w:pPr>
        <w:pStyle w:val="BodyText"/>
      </w:pPr>
      <w:r>
        <w:t xml:space="preserve">Nineteen Point Two is the controller for its own website, marketing, sales, billing, support and business contact data.</w:t>
      </w:r>
    </w:p>
    <w:bookmarkEnd w:id="33"/>
    <w:bookmarkStart w:id="34" w:name="what-waia-may-process"/>
    <w:p>
      <w:pPr>
        <w:pStyle w:val="Heading2"/>
      </w:pPr>
      <w:r>
        <w:t xml:space="preserve">What WAIA may process</w:t>
      </w:r>
    </w:p>
    <w:p>
      <w:pPr>
        <w:pStyle w:val="FirstParagraph"/>
      </w:pPr>
      <w:r>
        <w:t xml:space="preserve">WAIA may process:</w:t>
      </w:r>
    </w:p>
    <w:p>
      <w:pPr>
        <w:pStyle w:val="Compact"/>
        <w:numPr>
          <w:ilvl w:val="0"/>
          <w:numId w:val="1002"/>
        </w:numPr>
      </w:pPr>
      <w:r>
        <w:t xml:space="preserve">names</w:t>
      </w:r>
    </w:p>
    <w:p>
      <w:pPr>
        <w:pStyle w:val="Compact"/>
        <w:numPr>
          <w:ilvl w:val="0"/>
          <w:numId w:val="1002"/>
        </w:numPr>
      </w:pPr>
      <w:r>
        <w:t xml:space="preserve">work email addresses</w:t>
      </w:r>
    </w:p>
    <w:p>
      <w:pPr>
        <w:pStyle w:val="Compact"/>
        <w:numPr>
          <w:ilvl w:val="0"/>
          <w:numId w:val="1002"/>
        </w:numPr>
      </w:pPr>
      <w:r>
        <w:t xml:space="preserve">organisation names</w:t>
      </w:r>
    </w:p>
    <w:p>
      <w:pPr>
        <w:pStyle w:val="Compact"/>
        <w:numPr>
          <w:ilvl w:val="0"/>
          <w:numId w:val="1002"/>
        </w:numPr>
      </w:pPr>
      <w:r>
        <w:t xml:space="preserve">user roles or access levels</w:t>
      </w:r>
    </w:p>
    <w:p>
      <w:pPr>
        <w:pStyle w:val="Compact"/>
        <w:numPr>
          <w:ilvl w:val="0"/>
          <w:numId w:val="1002"/>
        </w:numPr>
      </w:pPr>
      <w:r>
        <w:t xml:space="preserve">learner invitation status</w:t>
      </w:r>
    </w:p>
    <w:p>
      <w:pPr>
        <w:pStyle w:val="Compact"/>
        <w:numPr>
          <w:ilvl w:val="0"/>
          <w:numId w:val="1002"/>
        </w:numPr>
      </w:pPr>
      <w:r>
        <w:t xml:space="preserve">course enrolment and progress</w:t>
      </w:r>
    </w:p>
    <w:p>
      <w:pPr>
        <w:pStyle w:val="Compact"/>
        <w:numPr>
          <w:ilvl w:val="0"/>
          <w:numId w:val="1002"/>
        </w:numPr>
      </w:pPr>
      <w:r>
        <w:t xml:space="preserve">lesson completion data</w:t>
      </w:r>
    </w:p>
    <w:p>
      <w:pPr>
        <w:pStyle w:val="Compact"/>
        <w:numPr>
          <w:ilvl w:val="0"/>
          <w:numId w:val="1002"/>
        </w:numPr>
      </w:pPr>
      <w:r>
        <w:t xml:space="preserve">knowledge check or assessment responses</w:t>
      </w:r>
    </w:p>
    <w:p>
      <w:pPr>
        <w:pStyle w:val="Compact"/>
        <w:numPr>
          <w:ilvl w:val="0"/>
          <w:numId w:val="1002"/>
        </w:numPr>
      </w:pPr>
      <w:r>
        <w:t xml:space="preserve">AI guidance acknowledgement records</w:t>
      </w:r>
    </w:p>
    <w:p>
      <w:pPr>
        <w:pStyle w:val="Compact"/>
        <w:numPr>
          <w:ilvl w:val="0"/>
          <w:numId w:val="1002"/>
        </w:numPr>
      </w:pPr>
      <w:r>
        <w:t xml:space="preserve">certificate or completion records</w:t>
      </w:r>
    </w:p>
    <w:p>
      <w:pPr>
        <w:pStyle w:val="Compact"/>
        <w:numPr>
          <w:ilvl w:val="0"/>
          <w:numId w:val="1002"/>
        </w:numPr>
      </w:pPr>
      <w:r>
        <w:t xml:space="preserve">organisation guidance settings</w:t>
      </w:r>
    </w:p>
    <w:p>
      <w:pPr>
        <w:pStyle w:val="Compact"/>
        <w:numPr>
          <w:ilvl w:val="0"/>
          <w:numId w:val="1002"/>
        </w:numPr>
      </w:pPr>
      <w:r>
        <w:t xml:space="preserve">organisation branding and profile information</w:t>
      </w:r>
    </w:p>
    <w:p>
      <w:pPr>
        <w:pStyle w:val="Compact"/>
        <w:numPr>
          <w:ilvl w:val="0"/>
          <w:numId w:val="1002"/>
        </w:numPr>
      </w:pPr>
      <w:r>
        <w:t xml:space="preserve">technical logs required for security, troubleshooting and service operation</w:t>
      </w:r>
    </w:p>
    <w:p>
      <w:pPr>
        <w:pStyle w:val="Compact"/>
        <w:numPr>
          <w:ilvl w:val="0"/>
          <w:numId w:val="1002"/>
        </w:numPr>
      </w:pPr>
      <w:r>
        <w:t xml:space="preserve">support messages and related correspondence</w:t>
      </w:r>
    </w:p>
    <w:p>
      <w:pPr>
        <w:pStyle w:val="FirstParagraph"/>
      </w:pPr>
      <w:r>
        <w:t xml:space="preserve">WAIA is not intended for special category data, such as health information, biometric data, trade union membership, political opinions, religious beliefs or other sensitive personal data. Customers should not upload this type of information unless expressly agreed in writing.</w:t>
      </w:r>
    </w:p>
    <w:bookmarkEnd w:id="34"/>
    <w:bookmarkStart w:id="35" w:name="how-waia-uses-data"/>
    <w:p>
      <w:pPr>
        <w:pStyle w:val="Heading2"/>
      </w:pPr>
      <w:r>
        <w:t xml:space="preserve">How WAIA uses data</w:t>
      </w:r>
    </w:p>
    <w:p>
      <w:pPr>
        <w:pStyle w:val="FirstParagraph"/>
      </w:pPr>
      <w:r>
        <w:t xml:space="preserve">WAIA uses customer learner data to:</w:t>
      </w:r>
    </w:p>
    <w:p>
      <w:pPr>
        <w:pStyle w:val="Compact"/>
        <w:numPr>
          <w:ilvl w:val="0"/>
          <w:numId w:val="1003"/>
        </w:numPr>
      </w:pPr>
      <w:r>
        <w:t xml:space="preserve">provide user access</w:t>
      </w:r>
    </w:p>
    <w:p>
      <w:pPr>
        <w:pStyle w:val="Compact"/>
        <w:numPr>
          <w:ilvl w:val="0"/>
          <w:numId w:val="1003"/>
        </w:numPr>
      </w:pPr>
      <w:r>
        <w:t xml:space="preserve">assign and deliver learning</w:t>
      </w:r>
    </w:p>
    <w:p>
      <w:pPr>
        <w:pStyle w:val="Compact"/>
        <w:numPr>
          <w:ilvl w:val="0"/>
          <w:numId w:val="1003"/>
        </w:numPr>
      </w:pPr>
      <w:r>
        <w:t xml:space="preserve">record progress and completion</w:t>
      </w:r>
    </w:p>
    <w:p>
      <w:pPr>
        <w:pStyle w:val="Compact"/>
        <w:numPr>
          <w:ilvl w:val="0"/>
          <w:numId w:val="1003"/>
        </w:numPr>
      </w:pPr>
      <w:r>
        <w:t xml:space="preserve">evidence acknowledgement of workplace AI guidance</w:t>
      </w:r>
    </w:p>
    <w:p>
      <w:pPr>
        <w:pStyle w:val="Compact"/>
        <w:numPr>
          <w:ilvl w:val="0"/>
          <w:numId w:val="1003"/>
        </w:numPr>
      </w:pPr>
      <w:r>
        <w:t xml:space="preserve">help customer administrators understand adoption and completion status</w:t>
      </w:r>
    </w:p>
    <w:p>
      <w:pPr>
        <w:pStyle w:val="Compact"/>
        <w:numPr>
          <w:ilvl w:val="0"/>
          <w:numId w:val="1003"/>
        </w:numPr>
      </w:pPr>
      <w:r>
        <w:t xml:space="preserve">provide support</w:t>
      </w:r>
    </w:p>
    <w:p>
      <w:pPr>
        <w:pStyle w:val="Compact"/>
        <w:numPr>
          <w:ilvl w:val="0"/>
          <w:numId w:val="1003"/>
        </w:numPr>
      </w:pPr>
      <w:r>
        <w:t xml:space="preserve">maintain security and reliability</w:t>
      </w:r>
    </w:p>
    <w:p>
      <w:pPr>
        <w:pStyle w:val="Compact"/>
        <w:numPr>
          <w:ilvl w:val="0"/>
          <w:numId w:val="1003"/>
        </w:numPr>
      </w:pPr>
      <w:r>
        <w:t xml:space="preserve">meet contractual and legal obligations</w:t>
      </w:r>
    </w:p>
    <w:p>
      <w:pPr>
        <w:pStyle w:val="FirstParagraph"/>
      </w:pPr>
      <w:r>
        <w:t xml:space="preserve">WAIA does not replace the customer organisation’s own legal, HR, policy or governance responsibilities.</w:t>
      </w:r>
    </w:p>
    <w:bookmarkEnd w:id="35"/>
    <w:bookmarkStart w:id="36" w:name="third-party-providers"/>
    <w:p>
      <w:pPr>
        <w:pStyle w:val="Heading2"/>
      </w:pPr>
      <w:r>
        <w:t xml:space="preserve">Third-party providers</w:t>
      </w:r>
    </w:p>
    <w:p>
      <w:pPr>
        <w:pStyle w:val="FirstParagraph"/>
      </w:pPr>
      <w:r>
        <w:t xml:space="preserve">Nineteen Point Two uses trusted third-party providers to host, operate, secure and support WAIA. These may include providers such as Lovable, Supabase, GitHub, Cloudflare, Microsoft 365, email providers, analytics providers and support tools, depending on the current deployment.</w:t>
      </w:r>
    </w:p>
    <w:p>
      <w:pPr>
        <w:pStyle w:val="BodyText"/>
      </w:pPr>
      <w:r>
        <w:t xml:space="preserve">Where these providers process customer personal data on behalf of Nineteen Point Two, they are treated as subprocessors.</w:t>
      </w:r>
    </w:p>
    <w:bookmarkEnd w:id="36"/>
    <w:bookmarkStart w:id="37" w:name="ai-use"/>
    <w:p>
      <w:pPr>
        <w:pStyle w:val="Heading2"/>
      </w:pPr>
      <w:r>
        <w:t xml:space="preserve">AI use</w:t>
      </w:r>
    </w:p>
    <w:p>
      <w:pPr>
        <w:pStyle w:val="FirstParagraph"/>
      </w:pPr>
      <w:r>
        <w:t xml:space="preserve">WAIA is a workplace AI adoption and learning platform. It is not designed to make automated employment decisions, evaluate employee performance, make legal decisions or replace internal governance ownership.</w:t>
      </w:r>
    </w:p>
    <w:p>
      <w:pPr>
        <w:pStyle w:val="BodyText"/>
      </w:pPr>
      <w:r>
        <w:t xml:space="preserve">Nineteen Point Two does not intentionally use customer learner personal data to train AI models. Customer personal data should not be submitted to AI systems unless the feature clearly states that AI processing is being used and the relevant customer terms and subprocessor information cover that processing.</w:t>
      </w:r>
    </w:p>
    <w:bookmarkEnd w:id="37"/>
    <w:bookmarkStart w:id="38" w:name="retention"/>
    <w:p>
      <w:pPr>
        <w:pStyle w:val="Heading2"/>
      </w:pPr>
      <w:r>
        <w:t xml:space="preserve">Retention</w:t>
      </w:r>
    </w:p>
    <w:p>
      <w:pPr>
        <w:pStyle w:val="FirstParagraph"/>
      </w:pPr>
      <w:r>
        <w:t xml:space="preserve">Customer learner data is retained for the duration of the customer relationship and for any agreed retention period needed for learning evidence, audit, support or legal purposes. After termination, customer data will be returned, exported, deleted or retained only as agreed in the customer terms and data processing agreement.</w:t>
      </w:r>
    </w:p>
    <w:bookmarkEnd w:id="38"/>
    <w:bookmarkStart w:id="39" w:name="contact-1"/>
    <w:p>
      <w:pPr>
        <w:pStyle w:val="Heading2"/>
      </w:pPr>
      <w:r>
        <w:t xml:space="preserve">Contact</w:t>
      </w:r>
    </w:p>
    <w:p>
      <w:pPr>
        <w:pStyle w:val="FirstParagraph"/>
      </w:pPr>
      <w:r>
        <w:t xml:space="preserve">For data protection questions, contact:</w:t>
      </w:r>
      <w:r>
        <w:t xml:space="preserve"> </w:t>
      </w:r>
      <w:r>
        <w:rPr>
          <w:b/>
          <w:bCs/>
        </w:rPr>
        <w:t xml:space="preserve">ben@nineteenpointtwo.com</w:t>
      </w:r>
      <w:r>
        <w:t xml:space="preserve">.</w:t>
      </w:r>
    </w:p>
    <w:p>
      <w:r>
        <w:pict>
          <v:rect style="width:0;height:1.5pt" o:hralign="center" o:hrstd="t" o:hr="t"/>
        </w:pict>
      </w:r>
    </w:p>
    <w:bookmarkEnd w:id="39"/>
    <w:bookmarkEnd w:id="40"/>
    <w:bookmarkStart w:id="66" w:name="privacy-notice-1"/>
    <w:p>
      <w:pPr>
        <w:pStyle w:val="Heading1"/>
      </w:pPr>
      <w:r>
        <w:t xml:space="preserve">3. Privacy Notice</w:t>
      </w:r>
    </w:p>
    <w:p>
      <w:pPr>
        <w:pStyle w:val="FirstParagraph"/>
      </w:pPr>
      <w:r>
        <w:rPr>
          <w:b/>
          <w:bCs/>
        </w:rPr>
        <w:t xml:space="preserve">Suggested route:</w:t>
      </w:r>
      <w:r>
        <w:t xml:space="preserve"> </w:t>
      </w:r>
      <w:r>
        <w:rPr>
          <w:rStyle w:val="VerbatimChar"/>
        </w:rPr>
        <w:t xml:space="preserve">/privacy/</w:t>
      </w:r>
    </w:p>
    <w:bookmarkStart w:id="41" w:name="privacy-notice-2"/>
    <w:p>
      <w:pPr>
        <w:pStyle w:val="Heading2"/>
      </w:pPr>
      <w:r>
        <w:t xml:space="preserve">Privacy Notice</w:t>
      </w:r>
    </w:p>
    <w:p>
      <w:pPr>
        <w:pStyle w:val="FirstParagraph"/>
      </w:pPr>
      <w:r>
        <w:t xml:space="preserve">This Privacy Notice explains how Nineteen Point Two collects, uses, stores and shares personal data.</w:t>
      </w:r>
    </w:p>
    <w:p>
      <w:pPr>
        <w:pStyle w:val="BodyText"/>
      </w:pPr>
      <w:r>
        <w:t xml:space="preserve">It applies to:</w:t>
      </w:r>
    </w:p>
    <w:p>
      <w:pPr>
        <w:pStyle w:val="Compact"/>
        <w:numPr>
          <w:ilvl w:val="0"/>
          <w:numId w:val="1004"/>
        </w:numPr>
      </w:pPr>
      <w:r>
        <w:t xml:space="preserve">visitors to the Nineteen Point Two website</w:t>
      </w:r>
    </w:p>
    <w:p>
      <w:pPr>
        <w:pStyle w:val="Compact"/>
        <w:numPr>
          <w:ilvl w:val="0"/>
          <w:numId w:val="1004"/>
        </w:numPr>
      </w:pPr>
      <w:r>
        <w:t xml:space="preserve">visitors to WAIA pages</w:t>
      </w:r>
    </w:p>
    <w:p>
      <w:pPr>
        <w:pStyle w:val="Compact"/>
        <w:numPr>
          <w:ilvl w:val="0"/>
          <w:numId w:val="1004"/>
        </w:numPr>
      </w:pPr>
      <w:r>
        <w:t xml:space="preserve">prospects and business contacts</w:t>
      </w:r>
    </w:p>
    <w:p>
      <w:pPr>
        <w:pStyle w:val="Compact"/>
        <w:numPr>
          <w:ilvl w:val="0"/>
          <w:numId w:val="1004"/>
        </w:numPr>
      </w:pPr>
      <w:r>
        <w:t xml:space="preserve">customer contacts</w:t>
      </w:r>
    </w:p>
    <w:p>
      <w:pPr>
        <w:pStyle w:val="Compact"/>
        <w:numPr>
          <w:ilvl w:val="0"/>
          <w:numId w:val="1004"/>
        </w:numPr>
      </w:pPr>
      <w:r>
        <w:t xml:space="preserve">WAIA organisation administrators</w:t>
      </w:r>
    </w:p>
    <w:p>
      <w:pPr>
        <w:pStyle w:val="Compact"/>
        <w:numPr>
          <w:ilvl w:val="0"/>
          <w:numId w:val="1004"/>
        </w:numPr>
      </w:pPr>
      <w:r>
        <w:t xml:space="preserve">WAIA learners</w:t>
      </w:r>
    </w:p>
    <w:p>
      <w:pPr>
        <w:pStyle w:val="Compact"/>
        <w:numPr>
          <w:ilvl w:val="0"/>
          <w:numId w:val="1004"/>
        </w:numPr>
      </w:pPr>
      <w:r>
        <w:t xml:space="preserve">people who contact us for support, sales, partnerships or general enquiries</w:t>
      </w:r>
    </w:p>
    <w:bookmarkEnd w:id="41"/>
    <w:bookmarkStart w:id="42" w:name="who-we-are"/>
    <w:p>
      <w:pPr>
        <w:pStyle w:val="Heading2"/>
      </w:pPr>
      <w:r>
        <w:t xml:space="preserve">1. Who we are</w:t>
      </w:r>
    </w:p>
    <w:p>
      <w:pPr>
        <w:pStyle w:val="FirstParagraph"/>
      </w:pPr>
      <w:r>
        <w:t xml:space="preserve">Nineteen Point Two is a business that provides practical operating systems, commercial advisory services and workplace AI adoption tools, including WAIA, the Workplace AI Academy.</w:t>
      </w:r>
    </w:p>
    <w:p>
      <w:pPr>
        <w:pStyle w:val="BodyText"/>
      </w:pPr>
      <w:r>
        <w:rPr>
          <w:b/>
          <w:bCs/>
        </w:rPr>
        <w:t xml:space="preserve">Legal entity:</w:t>
      </w:r>
      <w:r>
        <w:t xml:space="preserve"> </w:t>
      </w:r>
      <w:r>
        <w:t xml:space="preserve">Nineteen Point Two Limited</w:t>
      </w:r>
      <w:r>
        <w:br/>
      </w:r>
      <w:r>
        <w:rPr>
          <w:b/>
          <w:bCs/>
        </w:rPr>
        <w:t xml:space="preserve">Company number:</w:t>
      </w:r>
      <w:r>
        <w:t xml:space="preserve"> </w:t>
      </w:r>
      <w:r>
        <w:t xml:space="preserve">15905276</w:t>
      </w:r>
      <w:r>
        <w:br/>
      </w:r>
      <w:r>
        <w:rPr>
          <w:b/>
          <w:bCs/>
        </w:rPr>
        <w:t xml:space="preserve">Registered address:</w:t>
      </w:r>
      <w:r>
        <w:t xml:space="preserve"> </w:t>
      </w:r>
      <w:r>
        <w:t xml:space="preserve">C/O James Todd &amp; Co Furzehall Farm, 110 Wickham Road, Fareham, Hampshire, United Kingdom, PO16 7JH</w:t>
      </w:r>
      <w:r>
        <w:br/>
      </w:r>
      <w:r>
        <w:rPr>
          <w:b/>
          <w:bCs/>
        </w:rPr>
        <w:t xml:space="preserve">Privacy contact:</w:t>
      </w:r>
      <w:r>
        <w:t xml:space="preserve"> </w:t>
      </w:r>
      <w:r>
        <w:t xml:space="preserve">ben@nineteenpointtwo.com</w:t>
      </w:r>
    </w:p>
    <w:p>
      <w:pPr>
        <w:pStyle w:val="BodyText"/>
      </w:pPr>
      <w:r>
        <w:t xml:space="preserve">In this Privacy Notice,</w:t>
      </w:r>
      <w:r>
        <w:t xml:space="preserve"> </w:t>
      </w:r>
      <w:r>
        <w:t xml:space="preserve">“Nineteen Point Two”</w:t>
      </w:r>
      <w:r>
        <w:t xml:space="preserve">,</w:t>
      </w:r>
      <w:r>
        <w:t xml:space="preserve"> </w:t>
      </w:r>
      <w:r>
        <w:t xml:space="preserve">“19.2”</w:t>
      </w:r>
      <w:r>
        <w:t xml:space="preserve">,</w:t>
      </w:r>
      <w:r>
        <w:t xml:space="preserve"> </w:t>
      </w:r>
      <w:r>
        <w:t xml:space="preserve">“we”</w:t>
      </w:r>
      <w:r>
        <w:t xml:space="preserve">,</w:t>
      </w:r>
      <w:r>
        <w:t xml:space="preserve"> </w:t>
      </w:r>
      <w:r>
        <w:t xml:space="preserve">“us”</w:t>
      </w:r>
      <w:r>
        <w:t xml:space="preserve"> </w:t>
      </w:r>
      <w:r>
        <w:t xml:space="preserve">and</w:t>
      </w:r>
      <w:r>
        <w:t xml:space="preserve"> </w:t>
      </w:r>
      <w:r>
        <w:t xml:space="preserve">“our”</w:t>
      </w:r>
      <w:r>
        <w:t xml:space="preserve"> </w:t>
      </w:r>
      <w:r>
        <w:t xml:space="preserve">refer to the organisation providing these services.</w:t>
      </w:r>
    </w:p>
    <w:bookmarkEnd w:id="42"/>
    <w:bookmarkStart w:id="45" w:name="our-role-under-data-protection-law"/>
    <w:p>
      <w:pPr>
        <w:pStyle w:val="Heading2"/>
      </w:pPr>
      <w:r>
        <w:t xml:space="preserve">2. Our role under data protection law</w:t>
      </w:r>
    </w:p>
    <w:p>
      <w:pPr>
        <w:pStyle w:val="FirstParagraph"/>
      </w:pPr>
      <w:r>
        <w:t xml:space="preserve">Our role depends on the context.</w:t>
      </w:r>
    </w:p>
    <w:bookmarkStart w:id="43" w:name="where-we-are-controller"/>
    <w:p>
      <w:pPr>
        <w:pStyle w:val="Heading3"/>
      </w:pPr>
      <w:r>
        <w:t xml:space="preserve">Where we are controller</w:t>
      </w:r>
    </w:p>
    <w:p>
      <w:pPr>
        <w:pStyle w:val="FirstParagraph"/>
      </w:pPr>
      <w:r>
        <w:t xml:space="preserve">We are controller where we decide why and how personal data is used. This includes personal data used for:</w:t>
      </w:r>
    </w:p>
    <w:p>
      <w:pPr>
        <w:pStyle w:val="Compact"/>
        <w:numPr>
          <w:ilvl w:val="0"/>
          <w:numId w:val="1005"/>
        </w:numPr>
      </w:pPr>
      <w:r>
        <w:t xml:space="preserve">our website</w:t>
      </w:r>
    </w:p>
    <w:p>
      <w:pPr>
        <w:pStyle w:val="Compact"/>
        <w:numPr>
          <w:ilvl w:val="0"/>
          <w:numId w:val="1005"/>
        </w:numPr>
      </w:pPr>
      <w:r>
        <w:t xml:space="preserve">sales and marketing</w:t>
      </w:r>
    </w:p>
    <w:p>
      <w:pPr>
        <w:pStyle w:val="Compact"/>
        <w:numPr>
          <w:ilvl w:val="0"/>
          <w:numId w:val="1005"/>
        </w:numPr>
      </w:pPr>
      <w:r>
        <w:t xml:space="preserve">prospecting and business development</w:t>
      </w:r>
    </w:p>
    <w:p>
      <w:pPr>
        <w:pStyle w:val="Compact"/>
        <w:numPr>
          <w:ilvl w:val="0"/>
          <w:numId w:val="1005"/>
        </w:numPr>
      </w:pPr>
      <w:r>
        <w:t xml:space="preserve">customer relationship management</w:t>
      </w:r>
    </w:p>
    <w:p>
      <w:pPr>
        <w:pStyle w:val="Compact"/>
        <w:numPr>
          <w:ilvl w:val="0"/>
          <w:numId w:val="1005"/>
        </w:numPr>
      </w:pPr>
      <w:r>
        <w:t xml:space="preserve">billing and account administration</w:t>
      </w:r>
    </w:p>
    <w:p>
      <w:pPr>
        <w:pStyle w:val="Compact"/>
        <w:numPr>
          <w:ilvl w:val="0"/>
          <w:numId w:val="1005"/>
        </w:numPr>
      </w:pPr>
      <w:r>
        <w:t xml:space="preserve">support enquiries</w:t>
      </w:r>
    </w:p>
    <w:p>
      <w:pPr>
        <w:pStyle w:val="Compact"/>
        <w:numPr>
          <w:ilvl w:val="0"/>
          <w:numId w:val="1005"/>
        </w:numPr>
      </w:pPr>
      <w:r>
        <w:t xml:space="preserve">supplier management</w:t>
      </w:r>
    </w:p>
    <w:p>
      <w:pPr>
        <w:pStyle w:val="Compact"/>
        <w:numPr>
          <w:ilvl w:val="0"/>
          <w:numId w:val="1005"/>
        </w:numPr>
      </w:pPr>
      <w:r>
        <w:t xml:space="preserve">our own business operations</w:t>
      </w:r>
    </w:p>
    <w:bookmarkEnd w:id="43"/>
    <w:bookmarkStart w:id="44" w:name="where-we-are-processor"/>
    <w:p>
      <w:pPr>
        <w:pStyle w:val="Heading3"/>
      </w:pPr>
      <w:r>
        <w:t xml:space="preserve">Where we are processor</w:t>
      </w:r>
    </w:p>
    <w:p>
      <w:pPr>
        <w:pStyle w:val="FirstParagraph"/>
      </w:pPr>
      <w:r>
        <w:t xml:space="preserve">For WAIA learner data provided or managed by a customer organisation, the customer organisation will usually be the controller and Nineteen Point Two will usually act as processor.</w:t>
      </w:r>
    </w:p>
    <w:p>
      <w:pPr>
        <w:pStyle w:val="BodyText"/>
      </w:pPr>
      <w:r>
        <w:t xml:space="preserve">This means the customer decides why learner data is used, who should access WAIA, what learning is assigned, and how WAIA records are used internally. Nineteen Point Two processes the data to provide WAIA under the customer’s instructions.</w:t>
      </w:r>
    </w:p>
    <w:bookmarkEnd w:id="44"/>
    <w:bookmarkEnd w:id="45"/>
    <w:bookmarkStart w:id="52" w:name="personal-data-we-collect"/>
    <w:p>
      <w:pPr>
        <w:pStyle w:val="Heading2"/>
      </w:pPr>
      <w:r>
        <w:t xml:space="preserve">3. Personal data we collect</w:t>
      </w:r>
    </w:p>
    <w:p>
      <w:pPr>
        <w:pStyle w:val="FirstParagraph"/>
      </w:pPr>
      <w:r>
        <w:t xml:space="preserve">The personal data we collect depends on how you interact with us.</w:t>
      </w:r>
    </w:p>
    <w:bookmarkStart w:id="46" w:name="website-visitors"/>
    <w:p>
      <w:pPr>
        <w:pStyle w:val="Heading3"/>
      </w:pPr>
      <w:r>
        <w:t xml:space="preserve">Website visitors</w:t>
      </w:r>
    </w:p>
    <w:p>
      <w:pPr>
        <w:pStyle w:val="FirstParagraph"/>
      </w:pPr>
      <w:r>
        <w:t xml:space="preserve">We may collect:</w:t>
      </w:r>
    </w:p>
    <w:p>
      <w:pPr>
        <w:pStyle w:val="Compact"/>
        <w:numPr>
          <w:ilvl w:val="0"/>
          <w:numId w:val="1006"/>
        </w:numPr>
      </w:pPr>
      <w:r>
        <w:t xml:space="preserve">IP address</w:t>
      </w:r>
    </w:p>
    <w:p>
      <w:pPr>
        <w:pStyle w:val="Compact"/>
        <w:numPr>
          <w:ilvl w:val="0"/>
          <w:numId w:val="1006"/>
        </w:numPr>
      </w:pPr>
      <w:r>
        <w:t xml:space="preserve">device and browser information</w:t>
      </w:r>
    </w:p>
    <w:p>
      <w:pPr>
        <w:pStyle w:val="Compact"/>
        <w:numPr>
          <w:ilvl w:val="0"/>
          <w:numId w:val="1006"/>
        </w:numPr>
      </w:pPr>
      <w:r>
        <w:t xml:space="preserve">pages viewed</w:t>
      </w:r>
    </w:p>
    <w:p>
      <w:pPr>
        <w:pStyle w:val="Compact"/>
        <w:numPr>
          <w:ilvl w:val="0"/>
          <w:numId w:val="1006"/>
        </w:numPr>
      </w:pPr>
      <w:r>
        <w:t xml:space="preserve">approximate location derived from technical data</w:t>
      </w:r>
    </w:p>
    <w:p>
      <w:pPr>
        <w:pStyle w:val="Compact"/>
        <w:numPr>
          <w:ilvl w:val="0"/>
          <w:numId w:val="1006"/>
        </w:numPr>
      </w:pPr>
      <w:r>
        <w:t xml:space="preserve">referral source</w:t>
      </w:r>
    </w:p>
    <w:p>
      <w:pPr>
        <w:pStyle w:val="Compact"/>
        <w:numPr>
          <w:ilvl w:val="0"/>
          <w:numId w:val="1006"/>
        </w:numPr>
      </w:pPr>
      <w:r>
        <w:t xml:space="preserve">cookie preferences</w:t>
      </w:r>
    </w:p>
    <w:p>
      <w:pPr>
        <w:pStyle w:val="Compact"/>
        <w:numPr>
          <w:ilvl w:val="0"/>
          <w:numId w:val="1006"/>
        </w:numPr>
      </w:pPr>
      <w:r>
        <w:t xml:space="preserve">website usage data</w:t>
      </w:r>
    </w:p>
    <w:p>
      <w:pPr>
        <w:pStyle w:val="Compact"/>
        <w:numPr>
          <w:ilvl w:val="0"/>
          <w:numId w:val="1006"/>
        </w:numPr>
      </w:pPr>
      <w:r>
        <w:t xml:space="preserve">security and diagnostic logs</w:t>
      </w:r>
    </w:p>
    <w:bookmarkEnd w:id="46"/>
    <w:bookmarkStart w:id="47" w:name="prospects-and-business-contacts"/>
    <w:p>
      <w:pPr>
        <w:pStyle w:val="Heading3"/>
      </w:pPr>
      <w:r>
        <w:t xml:space="preserve">Prospects and business contacts</w:t>
      </w:r>
    </w:p>
    <w:p>
      <w:pPr>
        <w:pStyle w:val="FirstParagraph"/>
      </w:pPr>
      <w:r>
        <w:t xml:space="preserve">We may collect:</w:t>
      </w:r>
    </w:p>
    <w:p>
      <w:pPr>
        <w:pStyle w:val="Compact"/>
        <w:numPr>
          <w:ilvl w:val="0"/>
          <w:numId w:val="1007"/>
        </w:numPr>
      </w:pPr>
      <w:r>
        <w:t xml:space="preserve">name</w:t>
      </w:r>
    </w:p>
    <w:p>
      <w:pPr>
        <w:pStyle w:val="Compact"/>
        <w:numPr>
          <w:ilvl w:val="0"/>
          <w:numId w:val="1007"/>
        </w:numPr>
      </w:pPr>
      <w:r>
        <w:t xml:space="preserve">job title</w:t>
      </w:r>
    </w:p>
    <w:p>
      <w:pPr>
        <w:pStyle w:val="Compact"/>
        <w:numPr>
          <w:ilvl w:val="0"/>
          <w:numId w:val="1007"/>
        </w:numPr>
      </w:pPr>
      <w:r>
        <w:t xml:space="preserve">organisation</w:t>
      </w:r>
    </w:p>
    <w:p>
      <w:pPr>
        <w:pStyle w:val="Compact"/>
        <w:numPr>
          <w:ilvl w:val="0"/>
          <w:numId w:val="1007"/>
        </w:numPr>
      </w:pPr>
      <w:r>
        <w:t xml:space="preserve">work email address</w:t>
      </w:r>
    </w:p>
    <w:p>
      <w:pPr>
        <w:pStyle w:val="Compact"/>
        <w:numPr>
          <w:ilvl w:val="0"/>
          <w:numId w:val="1007"/>
        </w:numPr>
      </w:pPr>
      <w:r>
        <w:t xml:space="preserve">work telephone number, if provided</w:t>
      </w:r>
    </w:p>
    <w:p>
      <w:pPr>
        <w:pStyle w:val="Compact"/>
        <w:numPr>
          <w:ilvl w:val="0"/>
          <w:numId w:val="1007"/>
        </w:numPr>
      </w:pPr>
      <w:r>
        <w:t xml:space="preserve">LinkedIn or professional profile information, where relevant</w:t>
      </w:r>
    </w:p>
    <w:p>
      <w:pPr>
        <w:pStyle w:val="Compact"/>
        <w:numPr>
          <w:ilvl w:val="0"/>
          <w:numId w:val="1007"/>
        </w:numPr>
      </w:pPr>
      <w:r>
        <w:t xml:space="preserve">communication history</w:t>
      </w:r>
    </w:p>
    <w:p>
      <w:pPr>
        <w:pStyle w:val="Compact"/>
        <w:numPr>
          <w:ilvl w:val="0"/>
          <w:numId w:val="1007"/>
        </w:numPr>
      </w:pPr>
      <w:r>
        <w:t xml:space="preserve">areas of business interest</w:t>
      </w:r>
    </w:p>
    <w:p>
      <w:pPr>
        <w:pStyle w:val="Compact"/>
        <w:numPr>
          <w:ilvl w:val="0"/>
          <w:numId w:val="1007"/>
        </w:numPr>
      </w:pPr>
      <w:r>
        <w:t xml:space="preserve">campaign engagement information</w:t>
      </w:r>
    </w:p>
    <w:p>
      <w:pPr>
        <w:pStyle w:val="Compact"/>
        <w:numPr>
          <w:ilvl w:val="0"/>
          <w:numId w:val="1007"/>
        </w:numPr>
      </w:pPr>
      <w:r>
        <w:t xml:space="preserve">publicly available business information</w:t>
      </w:r>
    </w:p>
    <w:bookmarkEnd w:id="47"/>
    <w:bookmarkStart w:id="48" w:name="customer-contacts"/>
    <w:p>
      <w:pPr>
        <w:pStyle w:val="Heading3"/>
      </w:pPr>
      <w:r>
        <w:t xml:space="preserve">Customer contacts</w:t>
      </w:r>
    </w:p>
    <w:p>
      <w:pPr>
        <w:pStyle w:val="FirstParagraph"/>
      </w:pPr>
      <w:r>
        <w:t xml:space="preserve">We may collect:</w:t>
      </w:r>
    </w:p>
    <w:p>
      <w:pPr>
        <w:pStyle w:val="Compact"/>
        <w:numPr>
          <w:ilvl w:val="0"/>
          <w:numId w:val="1008"/>
        </w:numPr>
      </w:pPr>
      <w:r>
        <w:t xml:space="preserve">name</w:t>
      </w:r>
    </w:p>
    <w:p>
      <w:pPr>
        <w:pStyle w:val="Compact"/>
        <w:numPr>
          <w:ilvl w:val="0"/>
          <w:numId w:val="1008"/>
        </w:numPr>
      </w:pPr>
      <w:r>
        <w:t xml:space="preserve">job title</w:t>
      </w:r>
    </w:p>
    <w:p>
      <w:pPr>
        <w:pStyle w:val="Compact"/>
        <w:numPr>
          <w:ilvl w:val="0"/>
          <w:numId w:val="1008"/>
        </w:numPr>
      </w:pPr>
      <w:r>
        <w:t xml:space="preserve">organisation</w:t>
      </w:r>
    </w:p>
    <w:p>
      <w:pPr>
        <w:pStyle w:val="Compact"/>
        <w:numPr>
          <w:ilvl w:val="0"/>
          <w:numId w:val="1008"/>
        </w:numPr>
      </w:pPr>
      <w:r>
        <w:t xml:space="preserve">work email address</w:t>
      </w:r>
    </w:p>
    <w:p>
      <w:pPr>
        <w:pStyle w:val="Compact"/>
        <w:numPr>
          <w:ilvl w:val="0"/>
          <w:numId w:val="1008"/>
        </w:numPr>
      </w:pPr>
      <w:r>
        <w:t xml:space="preserve">contract and order information</w:t>
      </w:r>
    </w:p>
    <w:p>
      <w:pPr>
        <w:pStyle w:val="Compact"/>
        <w:numPr>
          <w:ilvl w:val="0"/>
          <w:numId w:val="1008"/>
        </w:numPr>
      </w:pPr>
      <w:r>
        <w:t xml:space="preserve">billing contact details</w:t>
      </w:r>
    </w:p>
    <w:p>
      <w:pPr>
        <w:pStyle w:val="Compact"/>
        <w:numPr>
          <w:ilvl w:val="0"/>
          <w:numId w:val="1008"/>
        </w:numPr>
      </w:pPr>
      <w:r>
        <w:t xml:space="preserve">communication history</w:t>
      </w:r>
    </w:p>
    <w:p>
      <w:pPr>
        <w:pStyle w:val="Compact"/>
        <w:numPr>
          <w:ilvl w:val="0"/>
          <w:numId w:val="1008"/>
        </w:numPr>
      </w:pPr>
      <w:r>
        <w:t xml:space="preserve">meeting notes</w:t>
      </w:r>
    </w:p>
    <w:p>
      <w:pPr>
        <w:pStyle w:val="Compact"/>
        <w:numPr>
          <w:ilvl w:val="0"/>
          <w:numId w:val="1008"/>
        </w:numPr>
      </w:pPr>
      <w:r>
        <w:t xml:space="preserve">service preferences</w:t>
      </w:r>
    </w:p>
    <w:p>
      <w:pPr>
        <w:pStyle w:val="Compact"/>
        <w:numPr>
          <w:ilvl w:val="0"/>
          <w:numId w:val="1008"/>
        </w:numPr>
      </w:pPr>
      <w:r>
        <w:t xml:space="preserve">support history</w:t>
      </w:r>
    </w:p>
    <w:bookmarkEnd w:id="48"/>
    <w:bookmarkStart w:id="49" w:name="waia-organisation-administrators"/>
    <w:p>
      <w:pPr>
        <w:pStyle w:val="Heading3"/>
      </w:pPr>
      <w:r>
        <w:t xml:space="preserve">WAIA organisation administrators</w:t>
      </w:r>
    </w:p>
    <w:p>
      <w:pPr>
        <w:pStyle w:val="FirstParagraph"/>
      </w:pPr>
      <w:r>
        <w:t xml:space="preserve">We may collect:</w:t>
      </w:r>
    </w:p>
    <w:p>
      <w:pPr>
        <w:pStyle w:val="Compact"/>
        <w:numPr>
          <w:ilvl w:val="0"/>
          <w:numId w:val="1009"/>
        </w:numPr>
      </w:pPr>
      <w:r>
        <w:t xml:space="preserve">name</w:t>
      </w:r>
    </w:p>
    <w:p>
      <w:pPr>
        <w:pStyle w:val="Compact"/>
        <w:numPr>
          <w:ilvl w:val="0"/>
          <w:numId w:val="1009"/>
        </w:numPr>
      </w:pPr>
      <w:r>
        <w:t xml:space="preserve">work email address</w:t>
      </w:r>
    </w:p>
    <w:p>
      <w:pPr>
        <w:pStyle w:val="Compact"/>
        <w:numPr>
          <w:ilvl w:val="0"/>
          <w:numId w:val="1009"/>
        </w:numPr>
      </w:pPr>
      <w:r>
        <w:t xml:space="preserve">organisation</w:t>
      </w:r>
    </w:p>
    <w:p>
      <w:pPr>
        <w:pStyle w:val="Compact"/>
        <w:numPr>
          <w:ilvl w:val="0"/>
          <w:numId w:val="1009"/>
        </w:numPr>
      </w:pPr>
      <w:r>
        <w:t xml:space="preserve">admin role or permission level</w:t>
      </w:r>
    </w:p>
    <w:p>
      <w:pPr>
        <w:pStyle w:val="Compact"/>
        <w:numPr>
          <w:ilvl w:val="0"/>
          <w:numId w:val="1009"/>
        </w:numPr>
      </w:pPr>
      <w:r>
        <w:t xml:space="preserve">login and account activity</w:t>
      </w:r>
    </w:p>
    <w:p>
      <w:pPr>
        <w:pStyle w:val="Compact"/>
        <w:numPr>
          <w:ilvl w:val="0"/>
          <w:numId w:val="1009"/>
        </w:numPr>
      </w:pPr>
      <w:r>
        <w:t xml:space="preserve">invitation activity</w:t>
      </w:r>
    </w:p>
    <w:p>
      <w:pPr>
        <w:pStyle w:val="Compact"/>
        <w:numPr>
          <w:ilvl w:val="0"/>
          <w:numId w:val="1009"/>
        </w:numPr>
      </w:pPr>
      <w:r>
        <w:t xml:space="preserve">learner management activity</w:t>
      </w:r>
    </w:p>
    <w:p>
      <w:pPr>
        <w:pStyle w:val="Compact"/>
        <w:numPr>
          <w:ilvl w:val="0"/>
          <w:numId w:val="1009"/>
        </w:numPr>
      </w:pPr>
      <w:r>
        <w:t xml:space="preserve">organisation settings</w:t>
      </w:r>
    </w:p>
    <w:p>
      <w:pPr>
        <w:pStyle w:val="Compact"/>
        <w:numPr>
          <w:ilvl w:val="0"/>
          <w:numId w:val="1009"/>
        </w:numPr>
      </w:pPr>
      <w:r>
        <w:t xml:space="preserve">organisation AI guidance configuration</w:t>
      </w:r>
    </w:p>
    <w:p>
      <w:pPr>
        <w:pStyle w:val="Compact"/>
        <w:numPr>
          <w:ilvl w:val="0"/>
          <w:numId w:val="1009"/>
        </w:numPr>
      </w:pPr>
      <w:r>
        <w:t xml:space="preserve">organisation branding information, such as logo URL, website URL and short description</w:t>
      </w:r>
    </w:p>
    <w:p>
      <w:pPr>
        <w:pStyle w:val="Compact"/>
        <w:numPr>
          <w:ilvl w:val="0"/>
          <w:numId w:val="1009"/>
        </w:numPr>
      </w:pPr>
      <w:r>
        <w:t xml:space="preserve">support messages</w:t>
      </w:r>
    </w:p>
    <w:p>
      <w:pPr>
        <w:pStyle w:val="Compact"/>
        <w:numPr>
          <w:ilvl w:val="0"/>
          <w:numId w:val="1009"/>
        </w:numPr>
      </w:pPr>
      <w:r>
        <w:t xml:space="preserve">technical logs</w:t>
      </w:r>
    </w:p>
    <w:bookmarkEnd w:id="49"/>
    <w:bookmarkStart w:id="50" w:name="waia-learners"/>
    <w:p>
      <w:pPr>
        <w:pStyle w:val="Heading3"/>
      </w:pPr>
      <w:r>
        <w:t xml:space="preserve">WAIA learners</w:t>
      </w:r>
    </w:p>
    <w:p>
      <w:pPr>
        <w:pStyle w:val="FirstParagraph"/>
      </w:pPr>
      <w:r>
        <w:t xml:space="preserve">We may collect:</w:t>
      </w:r>
    </w:p>
    <w:p>
      <w:pPr>
        <w:pStyle w:val="Compact"/>
        <w:numPr>
          <w:ilvl w:val="0"/>
          <w:numId w:val="1010"/>
        </w:numPr>
      </w:pPr>
      <w:r>
        <w:t xml:space="preserve">name</w:t>
      </w:r>
    </w:p>
    <w:p>
      <w:pPr>
        <w:pStyle w:val="Compact"/>
        <w:numPr>
          <w:ilvl w:val="0"/>
          <w:numId w:val="1010"/>
        </w:numPr>
      </w:pPr>
      <w:r>
        <w:t xml:space="preserve">work email address</w:t>
      </w:r>
    </w:p>
    <w:p>
      <w:pPr>
        <w:pStyle w:val="Compact"/>
        <w:numPr>
          <w:ilvl w:val="0"/>
          <w:numId w:val="1010"/>
        </w:numPr>
      </w:pPr>
      <w:r>
        <w:t xml:space="preserve">organisation</w:t>
      </w:r>
    </w:p>
    <w:p>
      <w:pPr>
        <w:pStyle w:val="Compact"/>
        <w:numPr>
          <w:ilvl w:val="0"/>
          <w:numId w:val="1010"/>
        </w:numPr>
      </w:pPr>
      <w:r>
        <w:t xml:space="preserve">user role or access level</w:t>
      </w:r>
    </w:p>
    <w:p>
      <w:pPr>
        <w:pStyle w:val="Compact"/>
        <w:numPr>
          <w:ilvl w:val="0"/>
          <w:numId w:val="1010"/>
        </w:numPr>
      </w:pPr>
      <w:r>
        <w:t xml:space="preserve">invitation status</w:t>
      </w:r>
    </w:p>
    <w:p>
      <w:pPr>
        <w:pStyle w:val="Compact"/>
        <w:numPr>
          <w:ilvl w:val="0"/>
          <w:numId w:val="1010"/>
        </w:numPr>
      </w:pPr>
      <w:r>
        <w:t xml:space="preserve">course assignment</w:t>
      </w:r>
    </w:p>
    <w:p>
      <w:pPr>
        <w:pStyle w:val="Compact"/>
        <w:numPr>
          <w:ilvl w:val="0"/>
          <w:numId w:val="1010"/>
        </w:numPr>
      </w:pPr>
      <w:r>
        <w:t xml:space="preserve">course progress</w:t>
      </w:r>
    </w:p>
    <w:p>
      <w:pPr>
        <w:pStyle w:val="Compact"/>
        <w:numPr>
          <w:ilvl w:val="0"/>
          <w:numId w:val="1010"/>
        </w:numPr>
      </w:pPr>
      <w:r>
        <w:t xml:space="preserve">lesson completion status</w:t>
      </w:r>
    </w:p>
    <w:p>
      <w:pPr>
        <w:pStyle w:val="Compact"/>
        <w:numPr>
          <w:ilvl w:val="0"/>
          <w:numId w:val="1010"/>
        </w:numPr>
      </w:pPr>
      <w:r>
        <w:t xml:space="preserve">knowledge check or assessment responses</w:t>
      </w:r>
    </w:p>
    <w:p>
      <w:pPr>
        <w:pStyle w:val="Compact"/>
        <w:numPr>
          <w:ilvl w:val="0"/>
          <w:numId w:val="1010"/>
        </w:numPr>
      </w:pPr>
      <w:r>
        <w:t xml:space="preserve">guidance acknowledgement status</w:t>
      </w:r>
    </w:p>
    <w:p>
      <w:pPr>
        <w:pStyle w:val="Compact"/>
        <w:numPr>
          <w:ilvl w:val="0"/>
          <w:numId w:val="1010"/>
        </w:numPr>
      </w:pPr>
      <w:r>
        <w:t xml:space="preserve">certificate or completion records</w:t>
      </w:r>
    </w:p>
    <w:p>
      <w:pPr>
        <w:pStyle w:val="Compact"/>
        <w:numPr>
          <w:ilvl w:val="0"/>
          <w:numId w:val="1010"/>
        </w:numPr>
      </w:pPr>
      <w:r>
        <w:t xml:space="preserve">login and security logs</w:t>
      </w:r>
    </w:p>
    <w:p>
      <w:pPr>
        <w:pStyle w:val="Compact"/>
        <w:numPr>
          <w:ilvl w:val="0"/>
          <w:numId w:val="1010"/>
        </w:numPr>
      </w:pPr>
      <w:r>
        <w:t xml:space="preserve">support messages</w:t>
      </w:r>
    </w:p>
    <w:bookmarkEnd w:id="50"/>
    <w:bookmarkStart w:id="51" w:name="support-and-enquiries"/>
    <w:p>
      <w:pPr>
        <w:pStyle w:val="Heading3"/>
      </w:pPr>
      <w:r>
        <w:t xml:space="preserve">Support and enquiries</w:t>
      </w:r>
    </w:p>
    <w:p>
      <w:pPr>
        <w:pStyle w:val="FirstParagraph"/>
      </w:pPr>
      <w:r>
        <w:t xml:space="preserve">We may collect:</w:t>
      </w:r>
    </w:p>
    <w:p>
      <w:pPr>
        <w:pStyle w:val="Compact"/>
        <w:numPr>
          <w:ilvl w:val="0"/>
          <w:numId w:val="1011"/>
        </w:numPr>
      </w:pPr>
      <w:r>
        <w:t xml:space="preserve">contact details</w:t>
      </w:r>
    </w:p>
    <w:p>
      <w:pPr>
        <w:pStyle w:val="Compact"/>
        <w:numPr>
          <w:ilvl w:val="0"/>
          <w:numId w:val="1011"/>
        </w:numPr>
      </w:pPr>
      <w:r>
        <w:t xml:space="preserve">message content</w:t>
      </w:r>
    </w:p>
    <w:p>
      <w:pPr>
        <w:pStyle w:val="Compact"/>
        <w:numPr>
          <w:ilvl w:val="0"/>
          <w:numId w:val="1011"/>
        </w:numPr>
      </w:pPr>
      <w:r>
        <w:t xml:space="preserve">files or screenshots you choose to send us</w:t>
      </w:r>
    </w:p>
    <w:p>
      <w:pPr>
        <w:pStyle w:val="Compact"/>
        <w:numPr>
          <w:ilvl w:val="0"/>
          <w:numId w:val="1011"/>
        </w:numPr>
      </w:pPr>
      <w:r>
        <w:t xml:space="preserve">technical diagnostic information</w:t>
      </w:r>
    </w:p>
    <w:p>
      <w:pPr>
        <w:pStyle w:val="Compact"/>
        <w:numPr>
          <w:ilvl w:val="0"/>
          <w:numId w:val="1011"/>
        </w:numPr>
      </w:pPr>
      <w:r>
        <w:t xml:space="preserve">support history</w:t>
      </w:r>
    </w:p>
    <w:p>
      <w:pPr>
        <w:pStyle w:val="FirstParagraph"/>
      </w:pPr>
      <w:r>
        <w:t xml:space="preserve">Please do not send us special category data unless we specifically ask for it and there is a clear reason to do so.</w:t>
      </w:r>
    </w:p>
    <w:bookmarkEnd w:id="51"/>
    <w:bookmarkEnd w:id="52"/>
    <w:bookmarkStart w:id="53" w:name="how-we-collect-personal-data"/>
    <w:p>
      <w:pPr>
        <w:pStyle w:val="Heading2"/>
      </w:pPr>
      <w:r>
        <w:t xml:space="preserve">4. How we collect personal data</w:t>
      </w:r>
    </w:p>
    <w:p>
      <w:pPr>
        <w:pStyle w:val="FirstParagraph"/>
      </w:pPr>
      <w:r>
        <w:t xml:space="preserve">We may collect personal data:</w:t>
      </w:r>
    </w:p>
    <w:p>
      <w:pPr>
        <w:pStyle w:val="Compact"/>
        <w:numPr>
          <w:ilvl w:val="0"/>
          <w:numId w:val="1012"/>
        </w:numPr>
      </w:pPr>
      <w:r>
        <w:t xml:space="preserve">directly from you</w:t>
      </w:r>
    </w:p>
    <w:p>
      <w:pPr>
        <w:pStyle w:val="Compact"/>
        <w:numPr>
          <w:ilvl w:val="0"/>
          <w:numId w:val="1012"/>
        </w:numPr>
      </w:pPr>
      <w:r>
        <w:t xml:space="preserve">from your employer or organisation</w:t>
      </w:r>
    </w:p>
    <w:p>
      <w:pPr>
        <w:pStyle w:val="Compact"/>
        <w:numPr>
          <w:ilvl w:val="0"/>
          <w:numId w:val="1012"/>
        </w:numPr>
      </w:pPr>
      <w:r>
        <w:t xml:space="preserve">when an organisation invites you to WAIA</w:t>
      </w:r>
    </w:p>
    <w:p>
      <w:pPr>
        <w:pStyle w:val="Compact"/>
        <w:numPr>
          <w:ilvl w:val="0"/>
          <w:numId w:val="1012"/>
        </w:numPr>
      </w:pPr>
      <w:r>
        <w:t xml:space="preserve">when you use WAIA</w:t>
      </w:r>
    </w:p>
    <w:p>
      <w:pPr>
        <w:pStyle w:val="Compact"/>
        <w:numPr>
          <w:ilvl w:val="0"/>
          <w:numId w:val="1012"/>
        </w:numPr>
      </w:pPr>
      <w:r>
        <w:t xml:space="preserve">when you complete learning, acknowledgements or assessments</w:t>
      </w:r>
    </w:p>
    <w:p>
      <w:pPr>
        <w:pStyle w:val="Compact"/>
        <w:numPr>
          <w:ilvl w:val="0"/>
          <w:numId w:val="1012"/>
        </w:numPr>
      </w:pPr>
      <w:r>
        <w:t xml:space="preserve">when you contact us</w:t>
      </w:r>
    </w:p>
    <w:p>
      <w:pPr>
        <w:pStyle w:val="Compact"/>
        <w:numPr>
          <w:ilvl w:val="0"/>
          <w:numId w:val="1012"/>
        </w:numPr>
      </w:pPr>
      <w:r>
        <w:t xml:space="preserve">when you visit our website</w:t>
      </w:r>
    </w:p>
    <w:p>
      <w:pPr>
        <w:pStyle w:val="Compact"/>
        <w:numPr>
          <w:ilvl w:val="0"/>
          <w:numId w:val="1012"/>
        </w:numPr>
      </w:pPr>
      <w:r>
        <w:t xml:space="preserve">from publicly available business sources</w:t>
      </w:r>
    </w:p>
    <w:p>
      <w:pPr>
        <w:pStyle w:val="Compact"/>
        <w:numPr>
          <w:ilvl w:val="0"/>
          <w:numId w:val="1012"/>
        </w:numPr>
      </w:pPr>
      <w:r>
        <w:t xml:space="preserve">from service providers used for email, analytics, hosting, security, customer management or support</w:t>
      </w:r>
    </w:p>
    <w:bookmarkEnd w:id="53"/>
    <w:bookmarkStart w:id="54" w:name="why-we-use-personal-data"/>
    <w:p>
      <w:pPr>
        <w:pStyle w:val="Heading2"/>
      </w:pPr>
      <w:r>
        <w:t xml:space="preserve">5. Why we use personal data</w:t>
      </w:r>
    </w:p>
    <w:p>
      <w:pPr>
        <w:pStyle w:val="FirstParagraph"/>
      </w:pPr>
      <w:r>
        <w:t xml:space="preserve">We use personal data for the following purposes.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Purpose</w:t>
            </w:r>
          </w:p>
        </w:tc>
        <w:tc>
          <w:tcPr/>
          <w:p>
            <w:pPr>
              <w:pStyle w:val="Compact"/>
            </w:pPr>
            <w:r>
              <w:t xml:space="preserve">Examples</w:t>
            </w:r>
          </w:p>
        </w:tc>
        <w:tc>
          <w:tcPr/>
          <w:p>
            <w:pPr>
              <w:pStyle w:val="Compact"/>
            </w:pPr>
            <w:r>
              <w:t xml:space="preserve">Likely lawful basis</w:t>
            </w:r>
          </w:p>
        </w:tc>
      </w:tr>
      <w:tr>
        <w:tc>
          <w:tcPr/>
          <w:p>
            <w:pPr>
              <w:pStyle w:val="Compact"/>
            </w:pPr>
            <w:r>
              <w:t xml:space="preserve">Provide WAIA</w:t>
            </w:r>
          </w:p>
        </w:tc>
        <w:tc>
          <w:tcPr/>
          <w:p>
            <w:pPr>
              <w:pStyle w:val="Compact"/>
            </w:pPr>
            <w:r>
              <w:t xml:space="preserve">Account access, learning delivery, progress records, admin reporting</w:t>
            </w:r>
          </w:p>
        </w:tc>
        <w:tc>
          <w:tcPr/>
          <w:p>
            <w:pPr>
              <w:pStyle w:val="Compact"/>
            </w:pPr>
            <w:r>
              <w:t xml:space="preserve">Contract, legitimate interests, or processor activity on customer instructions</w:t>
            </w:r>
          </w:p>
        </w:tc>
      </w:tr>
      <w:tr>
        <w:tc>
          <w:tcPr/>
          <w:p>
            <w:pPr>
              <w:pStyle w:val="Compact"/>
            </w:pPr>
            <w:r>
              <w:t xml:space="preserve">Manage customer relationships</w:t>
            </w:r>
          </w:p>
        </w:tc>
        <w:tc>
          <w:tcPr/>
          <w:p>
            <w:pPr>
              <w:pStyle w:val="Compact"/>
            </w:pPr>
            <w:r>
              <w:t xml:space="preserve">Contract management, onboarding, support, renewal discussions</w:t>
            </w:r>
          </w:p>
        </w:tc>
        <w:tc>
          <w:tcPr/>
          <w:p>
            <w:pPr>
              <w:pStyle w:val="Compact"/>
            </w:pPr>
            <w:r>
              <w:t xml:space="preserve">Contract and legitimate interests</w:t>
            </w:r>
          </w:p>
        </w:tc>
      </w:tr>
      <w:tr>
        <w:tc>
          <w:tcPr/>
          <w:p>
            <w:pPr>
              <w:pStyle w:val="Compact"/>
            </w:pPr>
            <w:r>
              <w:t xml:space="preserve">Support users</w:t>
            </w:r>
          </w:p>
        </w:tc>
        <w:tc>
          <w:tcPr/>
          <w:p>
            <w:pPr>
              <w:pStyle w:val="Compact"/>
            </w:pPr>
            <w:r>
              <w:t xml:space="preserve">Troubleshooting, responding to questions, resolving issues</w:t>
            </w:r>
          </w:p>
        </w:tc>
        <w:tc>
          <w:tcPr/>
          <w:p>
            <w:pPr>
              <w:pStyle w:val="Compact"/>
            </w:pPr>
            <w:r>
              <w:t xml:space="preserve">Contract and legitimate interests</w:t>
            </w:r>
          </w:p>
        </w:tc>
      </w:tr>
      <w:tr>
        <w:tc>
          <w:tcPr/>
          <w:p>
            <w:pPr>
              <w:pStyle w:val="Compact"/>
            </w:pPr>
            <w:r>
              <w:t xml:space="preserve">Evidence learning and acknowledgement</w:t>
            </w:r>
          </w:p>
        </w:tc>
        <w:tc>
          <w:tcPr/>
          <w:p>
            <w:pPr>
              <w:pStyle w:val="Compact"/>
            </w:pPr>
            <w:r>
              <w:t xml:space="preserve">Completion records, guidance acknowledgement, certificate status</w:t>
            </w:r>
          </w:p>
        </w:tc>
        <w:tc>
          <w:tcPr/>
          <w:p>
            <w:pPr>
              <w:pStyle w:val="Compact"/>
            </w:pPr>
            <w:r>
              <w:t xml:space="preserve">Customer instruction, contract and legitimate interests</w:t>
            </w:r>
          </w:p>
        </w:tc>
      </w:tr>
      <w:tr>
        <w:tc>
          <w:tcPr/>
          <w:p>
            <w:pPr>
              <w:pStyle w:val="Compact"/>
            </w:pPr>
            <w:r>
              <w:t xml:space="preserve">Maintain security</w:t>
            </w:r>
          </w:p>
        </w:tc>
        <w:tc>
          <w:tcPr/>
          <w:p>
            <w:pPr>
              <w:pStyle w:val="Compact"/>
            </w:pPr>
            <w:r>
              <w:t xml:space="preserve">Login monitoring, audit logs, misuse prevention, service protection</w:t>
            </w:r>
          </w:p>
        </w:tc>
        <w:tc>
          <w:tcPr/>
          <w:p>
            <w:pPr>
              <w:pStyle w:val="Compact"/>
            </w:pPr>
            <w:r>
              <w:t xml:space="preserve">Legitimate interests and legal obligation</w:t>
            </w:r>
          </w:p>
        </w:tc>
      </w:tr>
      <w:tr>
        <w:tc>
          <w:tcPr/>
          <w:p>
            <w:pPr>
              <w:pStyle w:val="Compact"/>
            </w:pPr>
            <w:r>
              <w:t xml:space="preserve">Improve services</w:t>
            </w:r>
          </w:p>
        </w:tc>
        <w:tc>
          <w:tcPr/>
          <w:p>
            <w:pPr>
              <w:pStyle w:val="Compact"/>
            </w:pPr>
            <w:r>
              <w:t xml:space="preserve">Understanding usage, identifying errors, improving content and workflows</w:t>
            </w:r>
          </w:p>
        </w:tc>
        <w:tc>
          <w:tcPr/>
          <w:p>
            <w:pPr>
              <w:pStyle w:val="Compact"/>
            </w:pPr>
            <w:r>
              <w:t xml:space="preserve">Legitimate interests, or consent where required</w:t>
            </w:r>
          </w:p>
        </w:tc>
      </w:tr>
      <w:tr>
        <w:tc>
          <w:tcPr/>
          <w:p>
            <w:pPr>
              <w:pStyle w:val="Compact"/>
            </w:pPr>
            <w:r>
              <w:t xml:space="preserve">Sales and marketing</w:t>
            </w:r>
          </w:p>
        </w:tc>
        <w:tc>
          <w:tcPr/>
          <w:p>
            <w:pPr>
              <w:pStyle w:val="Compact"/>
            </w:pPr>
            <w:r>
              <w:t xml:space="preserve">Relevant business communications, follow-up, campaign activity</w:t>
            </w:r>
          </w:p>
        </w:tc>
        <w:tc>
          <w:tcPr/>
          <w:p>
            <w:pPr>
              <w:pStyle w:val="Compact"/>
            </w:pPr>
            <w:r>
              <w:t xml:space="preserve">Legitimate interests or consent where required</w:t>
            </w:r>
          </w:p>
        </w:tc>
      </w:tr>
      <w:tr>
        <w:tc>
          <w:tcPr/>
          <w:p>
            <w:pPr>
              <w:pStyle w:val="Compact"/>
            </w:pPr>
            <w:r>
              <w:t xml:space="preserve">Billing and finance</w:t>
            </w:r>
          </w:p>
        </w:tc>
        <w:tc>
          <w:tcPr/>
          <w:p>
            <w:pPr>
              <w:pStyle w:val="Compact"/>
            </w:pPr>
            <w:r>
              <w:t xml:space="preserve">Invoicing, payment records, accounting</w:t>
            </w:r>
          </w:p>
        </w:tc>
        <w:tc>
          <w:tcPr/>
          <w:p>
            <w:pPr>
              <w:pStyle w:val="Compact"/>
            </w:pPr>
            <w:r>
              <w:t xml:space="preserve">Contract and legal obligation</w:t>
            </w:r>
          </w:p>
        </w:tc>
      </w:tr>
      <w:tr>
        <w:tc>
          <w:tcPr/>
          <w:p>
            <w:pPr>
              <w:pStyle w:val="Compact"/>
            </w:pPr>
            <w:r>
              <w:t xml:space="preserve">Legal and compliance</w:t>
            </w:r>
          </w:p>
        </w:tc>
        <w:tc>
          <w:tcPr/>
          <w:p>
            <w:pPr>
              <w:pStyle w:val="Compact"/>
            </w:pPr>
            <w:r>
              <w:t xml:space="preserve">Handling disputes, enforcing terms, meeting legal duties</w:t>
            </w:r>
          </w:p>
        </w:tc>
        <w:tc>
          <w:tcPr/>
          <w:p>
            <w:pPr>
              <w:pStyle w:val="Compact"/>
            </w:pPr>
            <w:r>
              <w:t xml:space="preserve">Legal obligation and legitimate interests</w:t>
            </w:r>
          </w:p>
        </w:tc>
      </w:tr>
    </w:tbl>
    <w:p>
      <w:pPr>
        <w:pStyle w:val="BodyText"/>
      </w:pPr>
      <w:r>
        <w:t xml:space="preserve">Where we act as processor, the customer organisation is responsible for identifying its own lawful basis for using learner data.</w:t>
      </w:r>
    </w:p>
    <w:bookmarkEnd w:id="54"/>
    <w:bookmarkStart w:id="55" w:name="marketing-communications"/>
    <w:p>
      <w:pPr>
        <w:pStyle w:val="Heading2"/>
      </w:pPr>
      <w:r>
        <w:t xml:space="preserve">6. Marketing communications</w:t>
      </w:r>
    </w:p>
    <w:p>
      <w:pPr>
        <w:pStyle w:val="FirstParagraph"/>
      </w:pPr>
      <w:r>
        <w:t xml:space="preserve">We may contact business contacts about Nineteen Point Two services where we believe there is a relevant business interest. We will respect opt-out requests.</w:t>
      </w:r>
    </w:p>
    <w:p>
      <w:pPr>
        <w:pStyle w:val="BodyText"/>
      </w:pPr>
      <w:r>
        <w:t xml:space="preserve">Where consent is required for a particular type of communication, we will seek consent before sending it.</w:t>
      </w:r>
    </w:p>
    <w:p>
      <w:pPr>
        <w:pStyle w:val="BodyText"/>
      </w:pPr>
      <w:r>
        <w:t xml:space="preserve">You can ask us to stop sending marketing communications at any time by contacting</w:t>
      </w:r>
      <w:r>
        <w:t xml:space="preserve"> </w:t>
      </w:r>
      <w:r>
        <w:rPr>
          <w:b/>
          <w:bCs/>
        </w:rPr>
        <w:t xml:space="preserve">ben@nineteenpointtwo.com</w:t>
      </w:r>
      <w:r>
        <w:t xml:space="preserve"> </w:t>
      </w:r>
      <w:r>
        <w:t xml:space="preserve">or using any unsubscribe link provided.</w:t>
      </w:r>
    </w:p>
    <w:bookmarkEnd w:id="55"/>
    <w:bookmarkStart w:id="56" w:name="cookies-and-similar-technologies"/>
    <w:p>
      <w:pPr>
        <w:pStyle w:val="Heading2"/>
      </w:pPr>
      <w:r>
        <w:t xml:space="preserve">7. Cookies and similar technologies</w:t>
      </w:r>
    </w:p>
    <w:p>
      <w:pPr>
        <w:pStyle w:val="FirstParagraph"/>
      </w:pPr>
      <w:r>
        <w:t xml:space="preserve">We use cookies and similar technologies where needed to operate our website or platform, remember preferences, maintain security, understand usage or support analytics.</w:t>
      </w:r>
    </w:p>
    <w:p>
      <w:pPr>
        <w:pStyle w:val="BodyText"/>
      </w:pPr>
      <w:r>
        <w:t xml:space="preserve">Non-essential cookies will only be used where required consent has been obtained.</w:t>
      </w:r>
    </w:p>
    <w:p>
      <w:pPr>
        <w:pStyle w:val="BodyText"/>
      </w:pPr>
      <w:r>
        <w:t xml:space="preserve">More detail is available in our Cookie Notice:</w:t>
      </w:r>
      <w:r>
        <w:t xml:space="preserve"> </w:t>
      </w:r>
      <w:r>
        <w:rPr>
          <w:rStyle w:val="VerbatimChar"/>
        </w:rPr>
        <w:t xml:space="preserve">/cookies/</w:t>
      </w:r>
      <w:r>
        <w:t xml:space="preserve">.</w:t>
      </w:r>
    </w:p>
    <w:bookmarkEnd w:id="56"/>
    <w:bookmarkStart w:id="57" w:name="who-we-share-personal-data-with"/>
    <w:p>
      <w:pPr>
        <w:pStyle w:val="Heading2"/>
      </w:pPr>
      <w:r>
        <w:t xml:space="preserve">8. Who we share personal data with</w:t>
      </w:r>
    </w:p>
    <w:p>
      <w:pPr>
        <w:pStyle w:val="FirstParagraph"/>
      </w:pPr>
      <w:r>
        <w:t xml:space="preserve">We may share personal data with:</w:t>
      </w:r>
    </w:p>
    <w:p>
      <w:pPr>
        <w:pStyle w:val="Compact"/>
        <w:numPr>
          <w:ilvl w:val="0"/>
          <w:numId w:val="1013"/>
        </w:numPr>
      </w:pPr>
      <w:r>
        <w:t xml:space="preserve">hosting and infrastructure providers</w:t>
      </w:r>
    </w:p>
    <w:p>
      <w:pPr>
        <w:pStyle w:val="Compact"/>
        <w:numPr>
          <w:ilvl w:val="0"/>
          <w:numId w:val="1013"/>
        </w:numPr>
      </w:pPr>
      <w:r>
        <w:t xml:space="preserve">database and authentication providers</w:t>
      </w:r>
    </w:p>
    <w:p>
      <w:pPr>
        <w:pStyle w:val="Compact"/>
        <w:numPr>
          <w:ilvl w:val="0"/>
          <w:numId w:val="1013"/>
        </w:numPr>
      </w:pPr>
      <w:r>
        <w:t xml:space="preserve">application deployment and monitoring providers</w:t>
      </w:r>
    </w:p>
    <w:p>
      <w:pPr>
        <w:pStyle w:val="Compact"/>
        <w:numPr>
          <w:ilvl w:val="0"/>
          <w:numId w:val="1013"/>
        </w:numPr>
      </w:pPr>
      <w:r>
        <w:t xml:space="preserve">email and communication providers</w:t>
      </w:r>
    </w:p>
    <w:p>
      <w:pPr>
        <w:pStyle w:val="Compact"/>
        <w:numPr>
          <w:ilvl w:val="0"/>
          <w:numId w:val="1013"/>
        </w:numPr>
      </w:pPr>
      <w:r>
        <w:t xml:space="preserve">analytics providers</w:t>
      </w:r>
    </w:p>
    <w:p>
      <w:pPr>
        <w:pStyle w:val="Compact"/>
        <w:numPr>
          <w:ilvl w:val="0"/>
          <w:numId w:val="1013"/>
        </w:numPr>
      </w:pPr>
      <w:r>
        <w:t xml:space="preserve">payment, accounting and finance providers</w:t>
      </w:r>
    </w:p>
    <w:p>
      <w:pPr>
        <w:pStyle w:val="Compact"/>
        <w:numPr>
          <w:ilvl w:val="0"/>
          <w:numId w:val="1013"/>
        </w:numPr>
      </w:pPr>
      <w:r>
        <w:t xml:space="preserve">professional advisers</w:t>
      </w:r>
    </w:p>
    <w:p>
      <w:pPr>
        <w:pStyle w:val="Compact"/>
        <w:numPr>
          <w:ilvl w:val="0"/>
          <w:numId w:val="1013"/>
        </w:numPr>
      </w:pPr>
      <w:r>
        <w:t xml:space="preserve">legal, regulatory or public authorities where required</w:t>
      </w:r>
    </w:p>
    <w:p>
      <w:pPr>
        <w:pStyle w:val="Compact"/>
        <w:numPr>
          <w:ilvl w:val="0"/>
          <w:numId w:val="1013"/>
        </w:numPr>
      </w:pPr>
      <w:r>
        <w:t xml:space="preserve">customer organisations, where WAIA records relate to their own learners</w:t>
      </w:r>
    </w:p>
    <w:p>
      <w:pPr>
        <w:pStyle w:val="Compact"/>
        <w:numPr>
          <w:ilvl w:val="0"/>
          <w:numId w:val="1013"/>
        </w:numPr>
      </w:pPr>
      <w:r>
        <w:t xml:space="preserve">suppliers who help us provide, secure or support our services</w:t>
      </w:r>
    </w:p>
    <w:p>
      <w:pPr>
        <w:pStyle w:val="FirstParagraph"/>
      </w:pPr>
      <w:r>
        <w:t xml:space="preserve">Where a third party processes customer personal data on our behalf for WAIA, we treat them as a subprocessor and require appropriate contractual protection.</w:t>
      </w:r>
    </w:p>
    <w:bookmarkEnd w:id="57"/>
    <w:bookmarkStart w:id="58" w:name="current-and-expected-providers"/>
    <w:p>
      <w:pPr>
        <w:pStyle w:val="Heading2"/>
      </w:pPr>
      <w:r>
        <w:t xml:space="preserve">9. Current and expected providers</w:t>
      </w:r>
    </w:p>
    <w:p>
      <w:pPr>
        <w:pStyle w:val="FirstParagraph"/>
      </w:pPr>
      <w:r>
        <w:t xml:space="preserve">Depending on the current deployment, providers may include:</w:t>
      </w:r>
    </w:p>
    <w:p>
      <w:pPr>
        <w:pStyle w:val="Compact"/>
        <w:numPr>
          <w:ilvl w:val="0"/>
          <w:numId w:val="1014"/>
        </w:numPr>
      </w:pPr>
      <w:r>
        <w:t xml:space="preserve">Lovable, for application hosting, deployment, platform operation or related services</w:t>
      </w:r>
    </w:p>
    <w:p>
      <w:pPr>
        <w:pStyle w:val="Compact"/>
        <w:numPr>
          <w:ilvl w:val="0"/>
          <w:numId w:val="1014"/>
        </w:numPr>
      </w:pPr>
      <w:r>
        <w:t xml:space="preserve">Supabase, for database, authentication, storage, backend and related services</w:t>
      </w:r>
    </w:p>
    <w:p>
      <w:pPr>
        <w:pStyle w:val="Compact"/>
        <w:numPr>
          <w:ilvl w:val="0"/>
          <w:numId w:val="1014"/>
        </w:numPr>
      </w:pPr>
      <w:r>
        <w:t xml:space="preserve">GitHub, for code hosting, website hosting or deployment workflows</w:t>
      </w:r>
    </w:p>
    <w:p>
      <w:pPr>
        <w:pStyle w:val="Compact"/>
        <w:numPr>
          <w:ilvl w:val="0"/>
          <w:numId w:val="1014"/>
        </w:numPr>
      </w:pPr>
      <w:r>
        <w:t xml:space="preserve">Cloudflare, for DNS, security, routing, hosting or deployment support where used</w:t>
      </w:r>
    </w:p>
    <w:p>
      <w:pPr>
        <w:pStyle w:val="Compact"/>
        <w:numPr>
          <w:ilvl w:val="0"/>
          <w:numId w:val="1014"/>
        </w:numPr>
      </w:pPr>
      <w:r>
        <w:t xml:space="preserve">Microsoft 365 or Google Workspace, for email, documents, business administration and support where used</w:t>
      </w:r>
    </w:p>
    <w:p>
      <w:pPr>
        <w:pStyle w:val="Compact"/>
        <w:numPr>
          <w:ilvl w:val="0"/>
          <w:numId w:val="1014"/>
        </w:numPr>
      </w:pPr>
      <w:r>
        <w:t xml:space="preserve">Hunter.io or similar tools, for business contact research, outreach or campaign management where used</w:t>
      </w:r>
    </w:p>
    <w:p>
      <w:pPr>
        <w:pStyle w:val="Compact"/>
        <w:numPr>
          <w:ilvl w:val="0"/>
          <w:numId w:val="1014"/>
        </w:numPr>
      </w:pPr>
      <w:r>
        <w:t xml:space="preserve">analytics tools, where enabled</w:t>
      </w:r>
    </w:p>
    <w:p>
      <w:pPr>
        <w:pStyle w:val="Compact"/>
        <w:numPr>
          <w:ilvl w:val="0"/>
          <w:numId w:val="1014"/>
        </w:numPr>
      </w:pPr>
      <w:r>
        <w:t xml:space="preserve">payment, accounting or invoicing tools, where used</w:t>
      </w:r>
    </w:p>
    <w:p>
      <w:pPr>
        <w:pStyle w:val="FirstParagraph"/>
      </w:pPr>
      <w:r>
        <w:t xml:space="preserve">The active WAIA subprocessor list is maintained separately at</w:t>
      </w:r>
      <w:r>
        <w:t xml:space="preserve"> </w:t>
      </w:r>
      <w:r>
        <w:rPr>
          <w:rStyle w:val="VerbatimChar"/>
        </w:rPr>
        <w:t xml:space="preserve">/subprocessors/</w:t>
      </w:r>
      <w:r>
        <w:t xml:space="preserve">.</w:t>
      </w:r>
    </w:p>
    <w:bookmarkEnd w:id="58"/>
    <w:bookmarkStart w:id="59" w:name="international-transfers"/>
    <w:p>
      <w:pPr>
        <w:pStyle w:val="Heading2"/>
      </w:pPr>
      <w:r>
        <w:t xml:space="preserve">10. International transfers</w:t>
      </w:r>
    </w:p>
    <w:p>
      <w:pPr>
        <w:pStyle w:val="FirstParagraph"/>
      </w:pPr>
      <w:r>
        <w:t xml:space="preserve">Some of our service providers may process personal data outside the United Kingdom or European Economic Area.</w:t>
      </w:r>
    </w:p>
    <w:p>
      <w:pPr>
        <w:pStyle w:val="BodyText"/>
      </w:pPr>
      <w:r>
        <w:t xml:space="preserve">Where this happens, we use appropriate safeguards where required, such as adequacy regulations, standard contractual clauses, the UK International Data Transfer Addendum, data processing agreements or other lawful transfer mechanisms.</w:t>
      </w:r>
    </w:p>
    <w:bookmarkEnd w:id="59"/>
    <w:bookmarkStart w:id="60" w:name="how-long-we-keep-personal-data"/>
    <w:p>
      <w:pPr>
        <w:pStyle w:val="Heading2"/>
      </w:pPr>
      <w:r>
        <w:t xml:space="preserve">11. How long we keep personal data</w:t>
      </w:r>
    </w:p>
    <w:p>
      <w:pPr>
        <w:pStyle w:val="FirstParagraph"/>
      </w:pPr>
      <w:r>
        <w:t xml:space="preserve">We keep personal data only for as long as reasonably needed for the purpose for which it was collected, including to provide services, meet legal duties, resolve disputes and maintain business records.</w:t>
      </w:r>
    </w:p>
    <w:p>
      <w:pPr>
        <w:pStyle w:val="BodyText"/>
      </w:pPr>
      <w:r>
        <w:t xml:space="preserve">Typical retention periods 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Data type</w:t>
            </w:r>
          </w:p>
        </w:tc>
        <w:tc>
          <w:tcPr/>
          <w:p>
            <w:pPr>
              <w:pStyle w:val="Compact"/>
            </w:pPr>
            <w:r>
              <w:t xml:space="preserve">Retention approach</w:t>
            </w:r>
          </w:p>
        </w:tc>
      </w:tr>
      <w:tr>
        <w:tc>
          <w:tcPr/>
          <w:p>
            <w:pPr>
              <w:pStyle w:val="Compact"/>
            </w:pPr>
            <w:r>
              <w:t xml:space="preserve">Website enquiry data</w:t>
            </w:r>
          </w:p>
        </w:tc>
        <w:tc>
          <w:tcPr/>
          <w:p>
            <w:pPr>
              <w:pStyle w:val="Compact"/>
            </w:pPr>
            <w:r>
              <w:t xml:space="preserve">Kept for as long as needed to respond and manage the relationship</w:t>
            </w:r>
          </w:p>
        </w:tc>
      </w:tr>
      <w:tr>
        <w:tc>
          <w:tcPr/>
          <w:p>
            <w:pPr>
              <w:pStyle w:val="Compact"/>
            </w:pPr>
            <w:r>
              <w:t xml:space="preserve">Prospect and marketing data</w:t>
            </w:r>
          </w:p>
        </w:tc>
        <w:tc>
          <w:tcPr/>
          <w:p>
            <w:pPr>
              <w:pStyle w:val="Compact"/>
            </w:pPr>
            <w:r>
              <w:t xml:space="preserve">Kept while there is a relevant business relationship or legitimate interest, unless you opt out</w:t>
            </w:r>
          </w:p>
        </w:tc>
      </w:tr>
      <w:tr>
        <w:tc>
          <w:tcPr/>
          <w:p>
            <w:pPr>
              <w:pStyle w:val="Compact"/>
            </w:pPr>
            <w:r>
              <w:t xml:space="preserve">Customer contact data</w:t>
            </w:r>
          </w:p>
        </w:tc>
        <w:tc>
          <w:tcPr/>
          <w:p>
            <w:pPr>
              <w:pStyle w:val="Compact"/>
            </w:pPr>
            <w:r>
              <w:t xml:space="preserve">Kept for the duration of the customer relationship and a reasonable period afterwards</w:t>
            </w:r>
          </w:p>
        </w:tc>
      </w:tr>
      <w:tr>
        <w:tc>
          <w:tcPr/>
          <w:p>
            <w:pPr>
              <w:pStyle w:val="Compact"/>
            </w:pPr>
            <w:r>
              <w:t xml:space="preserve">Billing and accounting records</w:t>
            </w:r>
          </w:p>
        </w:tc>
        <w:tc>
          <w:tcPr/>
          <w:p>
            <w:pPr>
              <w:pStyle w:val="Compact"/>
            </w:pPr>
            <w:r>
              <w:t xml:space="preserve">Kept for the period required by tax and accounting law</w:t>
            </w:r>
          </w:p>
        </w:tc>
      </w:tr>
      <w:tr>
        <w:tc>
          <w:tcPr/>
          <w:p>
            <w:pPr>
              <w:pStyle w:val="Compact"/>
            </w:pPr>
            <w:r>
              <w:t xml:space="preserve">WAIA learner data</w:t>
            </w:r>
          </w:p>
        </w:tc>
        <w:tc>
          <w:tcPr/>
          <w:p>
            <w:pPr>
              <w:pStyle w:val="Compact"/>
            </w:pPr>
            <w:r>
              <w:t xml:space="preserve">Kept for the customer contract term and any agreed learning evidence retention period</w:t>
            </w:r>
          </w:p>
        </w:tc>
      </w:tr>
      <w:tr>
        <w:tc>
          <w:tcPr/>
          <w:p>
            <w:pPr>
              <w:pStyle w:val="Compact"/>
            </w:pPr>
            <w:r>
              <w:t xml:space="preserve">Support records</w:t>
            </w:r>
          </w:p>
        </w:tc>
        <w:tc>
          <w:tcPr/>
          <w:p>
            <w:pPr>
              <w:pStyle w:val="Compact"/>
            </w:pPr>
            <w:r>
              <w:t xml:space="preserve">Kept for a reasonable period to manage service quality, disputes and continuity</w:t>
            </w:r>
          </w:p>
        </w:tc>
      </w:tr>
      <w:tr>
        <w:tc>
          <w:tcPr/>
          <w:p>
            <w:pPr>
              <w:pStyle w:val="Compact"/>
            </w:pPr>
            <w:r>
              <w:t xml:space="preserve">Security logs</w:t>
            </w:r>
          </w:p>
        </w:tc>
        <w:tc>
          <w:tcPr/>
          <w:p>
            <w:pPr>
              <w:pStyle w:val="Compact"/>
            </w:pPr>
            <w:r>
              <w:t xml:space="preserve">Kept for a limited period unless needed to investigate an incident</w:t>
            </w:r>
          </w:p>
        </w:tc>
      </w:tr>
    </w:tbl>
    <w:p>
      <w:pPr>
        <w:pStyle w:val="BodyText"/>
      </w:pPr>
      <w:r>
        <w:t xml:space="preserve">Specific customer learner data retention may be agreed in customer terms, the order form or data processing agreement.</w:t>
      </w:r>
    </w:p>
    <w:bookmarkEnd w:id="60"/>
    <w:bookmarkStart w:id="61" w:name="your-rights"/>
    <w:p>
      <w:pPr>
        <w:pStyle w:val="Heading2"/>
      </w:pPr>
      <w:r>
        <w:t xml:space="preserve">12. Your rights</w:t>
      </w:r>
    </w:p>
    <w:p>
      <w:pPr>
        <w:pStyle w:val="FirstParagraph"/>
      </w:pPr>
      <w:r>
        <w:t xml:space="preserve">Depending on the circumstances, you may have rights to:</w:t>
      </w:r>
    </w:p>
    <w:p>
      <w:pPr>
        <w:pStyle w:val="Compact"/>
        <w:numPr>
          <w:ilvl w:val="0"/>
          <w:numId w:val="1015"/>
        </w:numPr>
      </w:pPr>
      <w:r>
        <w:t xml:space="preserve">access your personal data</w:t>
      </w:r>
    </w:p>
    <w:p>
      <w:pPr>
        <w:pStyle w:val="Compact"/>
        <w:numPr>
          <w:ilvl w:val="0"/>
          <w:numId w:val="1015"/>
        </w:numPr>
      </w:pPr>
      <w:r>
        <w:t xml:space="preserve">correct inaccurate personal data</w:t>
      </w:r>
    </w:p>
    <w:p>
      <w:pPr>
        <w:pStyle w:val="Compact"/>
        <w:numPr>
          <w:ilvl w:val="0"/>
          <w:numId w:val="1015"/>
        </w:numPr>
      </w:pPr>
      <w:r>
        <w:t xml:space="preserve">request deletion</w:t>
      </w:r>
    </w:p>
    <w:p>
      <w:pPr>
        <w:pStyle w:val="Compact"/>
        <w:numPr>
          <w:ilvl w:val="0"/>
          <w:numId w:val="1015"/>
        </w:numPr>
      </w:pPr>
      <w:r>
        <w:t xml:space="preserve">restrict processing</w:t>
      </w:r>
    </w:p>
    <w:p>
      <w:pPr>
        <w:pStyle w:val="Compact"/>
        <w:numPr>
          <w:ilvl w:val="0"/>
          <w:numId w:val="1015"/>
        </w:numPr>
      </w:pPr>
      <w:r>
        <w:t xml:space="preserve">object to processing</w:t>
      </w:r>
    </w:p>
    <w:p>
      <w:pPr>
        <w:pStyle w:val="Compact"/>
        <w:numPr>
          <w:ilvl w:val="0"/>
          <w:numId w:val="1015"/>
        </w:numPr>
      </w:pPr>
      <w:r>
        <w:t xml:space="preserve">request portability</w:t>
      </w:r>
    </w:p>
    <w:p>
      <w:pPr>
        <w:pStyle w:val="Compact"/>
        <w:numPr>
          <w:ilvl w:val="0"/>
          <w:numId w:val="1015"/>
        </w:numPr>
      </w:pPr>
      <w:r>
        <w:t xml:space="preserve">withdraw consent where processing is based on consent</w:t>
      </w:r>
    </w:p>
    <w:p>
      <w:pPr>
        <w:pStyle w:val="Compact"/>
        <w:numPr>
          <w:ilvl w:val="0"/>
          <w:numId w:val="1015"/>
        </w:numPr>
      </w:pPr>
      <w:r>
        <w:t xml:space="preserve">complain to the Information Commissioner’s Office</w:t>
      </w:r>
    </w:p>
    <w:p>
      <w:pPr>
        <w:pStyle w:val="FirstParagraph"/>
      </w:pPr>
      <w:r>
        <w:t xml:space="preserve">Where your data is processed in WAIA on behalf of your employer or organisation, we may need to refer your request to that organisation because it is usually the controller.</w:t>
      </w:r>
    </w:p>
    <w:bookmarkEnd w:id="61"/>
    <w:bookmarkStart w:id="62" w:name="security"/>
    <w:p>
      <w:pPr>
        <w:pStyle w:val="Heading2"/>
      </w:pPr>
      <w:r>
        <w:t xml:space="preserve">13. Security</w:t>
      </w:r>
    </w:p>
    <w:p>
      <w:pPr>
        <w:pStyle w:val="FirstParagraph"/>
      </w:pPr>
      <w:r>
        <w:t xml:space="preserve">We use reasonable technical and organisational measures to protect personal data. These may include access controls, authentication, role-based permissions, encryption where supported by the relevant provider, logging, supplier controls and operational security practices.</w:t>
      </w:r>
    </w:p>
    <w:p>
      <w:pPr>
        <w:pStyle w:val="BodyText"/>
      </w:pPr>
      <w:r>
        <w:t xml:space="preserve">No online service can be guaranteed to be completely secure. Customers and users are responsible for keeping their own login credentials secure and for using WAIA in line with their organisation’s policies.</w:t>
      </w:r>
    </w:p>
    <w:bookmarkEnd w:id="62"/>
    <w:bookmarkStart w:id="63" w:name="children"/>
    <w:p>
      <w:pPr>
        <w:pStyle w:val="Heading2"/>
      </w:pPr>
      <w:r>
        <w:t xml:space="preserve">14. Children</w:t>
      </w:r>
    </w:p>
    <w:p>
      <w:pPr>
        <w:pStyle w:val="FirstParagraph"/>
      </w:pPr>
      <w:r>
        <w:t xml:space="preserve">WAIA is designed for workplace use and is not intended for children.</w:t>
      </w:r>
    </w:p>
    <w:bookmarkEnd w:id="63"/>
    <w:bookmarkStart w:id="64" w:name="changes-to-this-privacy-notice"/>
    <w:p>
      <w:pPr>
        <w:pStyle w:val="Heading2"/>
      </w:pPr>
      <w:r>
        <w:t xml:space="preserve">15. Changes to this Privacy Notice</w:t>
      </w:r>
    </w:p>
    <w:p>
      <w:pPr>
        <w:pStyle w:val="FirstParagraph"/>
      </w:pPr>
      <w:r>
        <w:t xml:space="preserve">We may update this Privacy Notice from time to time. The latest version will be published on our website with an updated version date.</w:t>
      </w:r>
    </w:p>
    <w:bookmarkEnd w:id="64"/>
    <w:bookmarkStart w:id="65" w:name="contact-2"/>
    <w:p>
      <w:pPr>
        <w:pStyle w:val="Heading2"/>
      </w:pPr>
      <w:r>
        <w:t xml:space="preserve">16. Contact</w:t>
      </w:r>
    </w:p>
    <w:p>
      <w:pPr>
        <w:pStyle w:val="FirstParagraph"/>
      </w:pPr>
      <w:r>
        <w:t xml:space="preserve">For questions about this Privacy Notice or how we handle personal data, contact:</w:t>
      </w:r>
    </w:p>
    <w:p>
      <w:pPr>
        <w:pStyle w:val="BodyText"/>
      </w:pPr>
      <w:r>
        <w:rPr>
          <w:b/>
          <w:bCs/>
        </w:rPr>
        <w:t xml:space="preserve">ben@nineteenpointtwo.com</w:t>
      </w:r>
    </w:p>
    <w:p>
      <w:pPr>
        <w:pStyle w:val="BodyText"/>
      </w:pPr>
      <w:r>
        <w:t xml:space="preserve">You can also complain to the Information Commissioner’s Office if you are unhappy with how we handle your personal data.</w:t>
      </w:r>
    </w:p>
    <w:p>
      <w:r>
        <w:pict>
          <v:rect style="width:0;height:1.5pt" o:hralign="center" o:hrstd="t" o:hr="t"/>
        </w:pict>
      </w:r>
    </w:p>
    <w:bookmarkEnd w:id="65"/>
    <w:bookmarkEnd w:id="66"/>
    <w:bookmarkStart w:id="76" w:name="cookie-notice-1"/>
    <w:p>
      <w:pPr>
        <w:pStyle w:val="Heading1"/>
      </w:pPr>
      <w:r>
        <w:t xml:space="preserve">4. Cookie Notice</w:t>
      </w:r>
    </w:p>
    <w:p>
      <w:pPr>
        <w:pStyle w:val="FirstParagraph"/>
      </w:pPr>
      <w:r>
        <w:rPr>
          <w:b/>
          <w:bCs/>
        </w:rPr>
        <w:t xml:space="preserve">Suggested route:</w:t>
      </w:r>
      <w:r>
        <w:t xml:space="preserve"> </w:t>
      </w:r>
      <w:r>
        <w:rPr>
          <w:rStyle w:val="VerbatimChar"/>
        </w:rPr>
        <w:t xml:space="preserve">/cookies/</w:t>
      </w:r>
    </w:p>
    <w:bookmarkStart w:id="67" w:name="cookie-notice-2"/>
    <w:p>
      <w:pPr>
        <w:pStyle w:val="Heading2"/>
      </w:pPr>
      <w:r>
        <w:t xml:space="preserve">Cookie Notice</w:t>
      </w:r>
    </w:p>
    <w:p>
      <w:pPr>
        <w:pStyle w:val="FirstParagraph"/>
      </w:pPr>
      <w:r>
        <w:t xml:space="preserve">This Cookie Notice explains how Nineteen Point Two uses cookies and similar technologies on its website and WAIA platform.</w:t>
      </w:r>
    </w:p>
    <w:bookmarkEnd w:id="67"/>
    <w:bookmarkStart w:id="68" w:name="what-cookies-are"/>
    <w:p>
      <w:pPr>
        <w:pStyle w:val="Heading2"/>
      </w:pPr>
      <w:r>
        <w:t xml:space="preserve">1. What cookies are</w:t>
      </w:r>
    </w:p>
    <w:p>
      <w:pPr>
        <w:pStyle w:val="FirstParagraph"/>
      </w:pPr>
      <w:r>
        <w:t xml:space="preserve">Cookies are small files placed on your device when you visit a website or use an online service. Similar technologies may include local storage, pixels, tags, scripts and device identifiers.</w:t>
      </w:r>
    </w:p>
    <w:p>
      <w:pPr>
        <w:pStyle w:val="BodyText"/>
      </w:pPr>
      <w:r>
        <w:t xml:space="preserve">These technologies can help a site work properly, remember preferences, support security, measure usage or support marketing activity.</w:t>
      </w:r>
    </w:p>
    <w:bookmarkEnd w:id="68"/>
    <w:bookmarkStart w:id="69" w:name="how-we-use-cookies"/>
    <w:p>
      <w:pPr>
        <w:pStyle w:val="Heading2"/>
      </w:pPr>
      <w:r>
        <w:t xml:space="preserve">2. How we use cookies</w:t>
      </w:r>
    </w:p>
    <w:p>
      <w:pPr>
        <w:pStyle w:val="FirstParagraph"/>
      </w:pPr>
      <w:r>
        <w:t xml:space="preserve">We may use cookies and similar technologies for the following purposes.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Purpose</w:t>
            </w:r>
          </w:p>
        </w:tc>
        <w:tc>
          <w:tcPr/>
          <w:p>
            <w:pPr>
              <w:pStyle w:val="Compact"/>
            </w:pPr>
            <w:r>
              <w:t xml:space="preserve">Consent required?</w:t>
            </w:r>
          </w:p>
        </w:tc>
      </w:tr>
      <w:tr>
        <w:tc>
          <w:tcPr/>
          <w:p>
            <w:pPr>
              <w:pStyle w:val="Compact"/>
            </w:pPr>
            <w:r>
              <w:t xml:space="preserve">Strictly necessary</w:t>
            </w:r>
          </w:p>
        </w:tc>
        <w:tc>
          <w:tcPr/>
          <w:p>
            <w:pPr>
              <w:pStyle w:val="Compact"/>
            </w:pPr>
            <w:r>
              <w:t xml:space="preserve">Login, security, session management, account access, load balancing, cookie preferences</w:t>
            </w:r>
          </w:p>
        </w:tc>
        <w:tc>
          <w:tcPr/>
          <w:p>
            <w:pPr>
              <w:pStyle w:val="Compact"/>
            </w:pPr>
            <w:r>
              <w:t xml:space="preserve">No, where essential to provide the requested service</w:t>
            </w:r>
          </w:p>
        </w:tc>
      </w:tr>
      <w:tr>
        <w:tc>
          <w:tcPr/>
          <w:p>
            <w:pPr>
              <w:pStyle w:val="Compact"/>
            </w:pPr>
            <w:r>
              <w:t xml:space="preserve">Functional</w:t>
            </w:r>
          </w:p>
        </w:tc>
        <w:tc>
          <w:tcPr/>
          <w:p>
            <w:pPr>
              <w:pStyle w:val="Compact"/>
            </w:pPr>
            <w:r>
              <w:t xml:space="preserve">Remembering preferences or improving user experience</w:t>
            </w:r>
          </w:p>
        </w:tc>
        <w:tc>
          <w:tcPr/>
          <w:p>
            <w:pPr>
              <w:pStyle w:val="Compact"/>
            </w:pPr>
            <w:r>
              <w:t xml:space="preserve">Usually yes, unless strictly necessary</w:t>
            </w:r>
          </w:p>
        </w:tc>
      </w:tr>
      <w:tr>
        <w:tc>
          <w:tcPr/>
          <w:p>
            <w:pPr>
              <w:pStyle w:val="Compact"/>
            </w:pPr>
            <w:r>
              <w:t xml:space="preserve">Analytics</w:t>
            </w:r>
          </w:p>
        </w:tc>
        <w:tc>
          <w:tcPr/>
          <w:p>
            <w:pPr>
              <w:pStyle w:val="Compact"/>
            </w:pPr>
            <w:r>
              <w:t xml:space="preserve">Understanding website or platform usage, performance and content effectiveness</w:t>
            </w:r>
          </w:p>
        </w:tc>
        <w:tc>
          <w:tcPr/>
          <w:p>
            <w:pPr>
              <w:pStyle w:val="Compact"/>
            </w:pPr>
            <w:r>
              <w:t xml:space="preserve">Yes, unless a specific legal exemption applies</w:t>
            </w:r>
          </w:p>
        </w:tc>
      </w:tr>
      <w:tr>
        <w:tc>
          <w:tcPr/>
          <w:p>
            <w:pPr>
              <w:pStyle w:val="Compact"/>
            </w:pPr>
            <w:r>
              <w:t xml:space="preserve">Marketing</w:t>
            </w:r>
          </w:p>
        </w:tc>
        <w:tc>
          <w:tcPr/>
          <w:p>
            <w:pPr>
              <w:pStyle w:val="Compact"/>
            </w:pPr>
            <w:r>
              <w:t xml:space="preserve">Campaign tracking, pixels, remarketing or advertising measurement</w:t>
            </w:r>
          </w:p>
        </w:tc>
        <w:tc>
          <w:tcPr/>
          <w:p>
            <w:pPr>
              <w:pStyle w:val="Compact"/>
            </w:pPr>
            <w:r>
              <w:t xml:space="preserve">Yes</w:t>
            </w:r>
          </w:p>
        </w:tc>
      </w:tr>
    </w:tbl>
    <w:bookmarkEnd w:id="69"/>
    <w:bookmarkStart w:id="70" w:name="strictly-necessary-cookies"/>
    <w:p>
      <w:pPr>
        <w:pStyle w:val="Heading2"/>
      </w:pPr>
      <w:r>
        <w:t xml:space="preserve">3. Strictly necessary cookies</w:t>
      </w:r>
    </w:p>
    <w:p>
      <w:pPr>
        <w:pStyle w:val="FirstParagraph"/>
      </w:pPr>
      <w:r>
        <w:t xml:space="preserve">Strictly necessary cookies are used to provide services you have requested, such as secure login, authentication, account access, platform security and remembering cookie preferences.</w:t>
      </w:r>
    </w:p>
    <w:p>
      <w:pPr>
        <w:pStyle w:val="BodyText"/>
      </w:pPr>
      <w:r>
        <w:t xml:space="preserve">These cookies cannot usually be switched off because the service would not work properly without them.</w:t>
      </w:r>
    </w:p>
    <w:bookmarkEnd w:id="70"/>
    <w:bookmarkStart w:id="71" w:name="analytics-cookies"/>
    <w:p>
      <w:pPr>
        <w:pStyle w:val="Heading2"/>
      </w:pPr>
      <w:r>
        <w:t xml:space="preserve">4. Analytics cookies</w:t>
      </w:r>
    </w:p>
    <w:p>
      <w:pPr>
        <w:pStyle w:val="FirstParagraph"/>
      </w:pPr>
      <w:r>
        <w:t xml:space="preserve">Analytics cookies help us understand how people use the website or platform. For example, they may help us understand which pages are viewed, which content is useful, and where errors occur.</w:t>
      </w:r>
    </w:p>
    <w:p>
      <w:pPr>
        <w:pStyle w:val="BodyText"/>
      </w:pPr>
      <w:r>
        <w:t xml:space="preserve">We will only use non-essential analytics cookies where required consent has been obtained.</w:t>
      </w:r>
    </w:p>
    <w:p>
      <w:pPr>
        <w:pStyle w:val="BodyText"/>
      </w:pPr>
      <w:r>
        <w:rPr>
          <w:b/>
          <w:bCs/>
        </w:rPr>
        <w:t xml:space="preserve">Current analytics tools:</w:t>
      </w:r>
      <w:r>
        <w:t xml:space="preserve"> </w:t>
      </w:r>
      <w:r>
        <w:t xml:space="preserve">Google Search Console only. No Google Analytics, Plausible, LinkedIn Insight Tag, Meta Pixel or advertising pixel is currently known to be active.</w:t>
      </w:r>
    </w:p>
    <w:bookmarkEnd w:id="71"/>
    <w:bookmarkStart w:id="72" w:name="marketing-cookies"/>
    <w:p>
      <w:pPr>
        <w:pStyle w:val="Heading2"/>
      </w:pPr>
      <w:r>
        <w:t xml:space="preserve">5. Marketing cookies</w:t>
      </w:r>
    </w:p>
    <w:p>
      <w:pPr>
        <w:pStyle w:val="FirstParagraph"/>
      </w:pPr>
      <w:r>
        <w:t xml:space="preserve">Marketing cookies may be used to understand campaign performance or support relevant advertising.</w:t>
      </w:r>
    </w:p>
    <w:p>
      <w:pPr>
        <w:pStyle w:val="BodyText"/>
      </w:pPr>
      <w:r>
        <w:rPr>
          <w:b/>
          <w:bCs/>
        </w:rPr>
        <w:t xml:space="preserve">Current marketing cookies or pixels:</w:t>
      </w:r>
      <w:r>
        <w:t xml:space="preserve"> </w:t>
      </w:r>
      <w:r>
        <w:t xml:space="preserve">We do not currently use marketing cookies or advertising pixels as far as currently known.</w:t>
      </w:r>
    </w:p>
    <w:bookmarkEnd w:id="72"/>
    <w:bookmarkStart w:id="73" w:name="managing-cookies"/>
    <w:p>
      <w:pPr>
        <w:pStyle w:val="Heading2"/>
      </w:pPr>
      <w:r>
        <w:t xml:space="preserve">6. Managing cookies</w:t>
      </w:r>
    </w:p>
    <w:p>
      <w:pPr>
        <w:pStyle w:val="FirstParagraph"/>
      </w:pPr>
      <w:r>
        <w:t xml:space="preserve">You can manage your cookie preferences through our cookie banner or settings tool where available.</w:t>
      </w:r>
    </w:p>
    <w:p>
      <w:pPr>
        <w:pStyle w:val="BodyText"/>
      </w:pPr>
      <w:r>
        <w:t xml:space="preserve">You can also control cookies through your browser settings. Blocking some cookies may affect how the website or WAIA platform works.</w:t>
      </w:r>
    </w:p>
    <w:bookmarkEnd w:id="73"/>
    <w:bookmarkStart w:id="74" w:name="changes-to-this-cookie-notice"/>
    <w:p>
      <w:pPr>
        <w:pStyle w:val="Heading2"/>
      </w:pPr>
      <w:r>
        <w:t xml:space="preserve">7. Changes to this Cookie Notice</w:t>
      </w:r>
    </w:p>
    <w:p>
      <w:pPr>
        <w:pStyle w:val="FirstParagraph"/>
      </w:pPr>
      <w:r>
        <w:t xml:space="preserve">We may update this Cookie Notice from time to time. The latest version will be published on our website.</w:t>
      </w:r>
    </w:p>
    <w:bookmarkEnd w:id="74"/>
    <w:bookmarkStart w:id="75" w:name="contact-3"/>
    <w:p>
      <w:pPr>
        <w:pStyle w:val="Heading2"/>
      </w:pPr>
      <w:r>
        <w:t xml:space="preserve">8. Contact</w:t>
      </w:r>
    </w:p>
    <w:p>
      <w:pPr>
        <w:pStyle w:val="FirstParagraph"/>
      </w:pPr>
      <w:r>
        <w:t xml:space="preserve">For questions about cookies, contact</w:t>
      </w:r>
      <w:r>
        <w:t xml:space="preserve"> </w:t>
      </w:r>
      <w:r>
        <w:rPr>
          <w:b/>
          <w:bCs/>
        </w:rPr>
        <w:t xml:space="preserve">ben@nineteenpointtwo.com</w:t>
      </w:r>
      <w:r>
        <w:t xml:space="preserve">.</w:t>
      </w:r>
    </w:p>
    <w:p>
      <w:r>
        <w:pict>
          <v:rect style="width:0;height:1.5pt" o:hralign="center" o:hrstd="t" o:hr="t"/>
        </w:pict>
      </w:r>
    </w:p>
    <w:bookmarkEnd w:id="75"/>
    <w:bookmarkEnd w:id="76"/>
    <w:bookmarkStart w:id="107" w:name="waia-terms-of-service-1"/>
    <w:p>
      <w:pPr>
        <w:pStyle w:val="Heading1"/>
      </w:pPr>
      <w:r>
        <w:t xml:space="preserve">5. WAIA Terms of Service</w:t>
      </w:r>
    </w:p>
    <w:p>
      <w:pPr>
        <w:pStyle w:val="FirstParagraph"/>
      </w:pPr>
      <w:r>
        <w:rPr>
          <w:b/>
          <w:bCs/>
        </w:rPr>
        <w:t xml:space="preserve">Suggested route:</w:t>
      </w:r>
      <w:r>
        <w:t xml:space="preserve"> </w:t>
      </w:r>
      <w:r>
        <w:rPr>
          <w:rStyle w:val="VerbatimChar"/>
        </w:rPr>
        <w:t xml:space="preserve">/waia-terms/</w:t>
      </w:r>
    </w:p>
    <w:bookmarkStart w:id="77" w:name="waia-terms-of-service-2"/>
    <w:p>
      <w:pPr>
        <w:pStyle w:val="Heading2"/>
      </w:pPr>
      <w:r>
        <w:t xml:space="preserve">WAIA Terms of Service</w:t>
      </w:r>
    </w:p>
    <w:p>
      <w:pPr>
        <w:pStyle w:val="FirstParagraph"/>
      </w:pPr>
      <w:r>
        <w:t xml:space="preserve">These WAIA Terms of Service govern access to and use of WAIA, the Workplace AI Academy, provided by Nineteen Point Two.</w:t>
      </w:r>
    </w:p>
    <w:p>
      <w:pPr>
        <w:pStyle w:val="BodyText"/>
      </w:pPr>
      <w:r>
        <w:t xml:space="preserve">They should be read together with any order form, proposal, statement of work, data processing agreement, privacy notice and other terms agreed in writing.</w:t>
      </w:r>
    </w:p>
    <w:bookmarkEnd w:id="77"/>
    <w:bookmarkStart w:id="78" w:name="definitions"/>
    <w:p>
      <w:pPr>
        <w:pStyle w:val="Heading2"/>
      </w:pPr>
      <w:r>
        <w:t xml:space="preserve">1. Definitions</w:t>
      </w:r>
    </w:p>
    <w:p>
      <w:pPr>
        <w:pStyle w:val="FirstParagraph"/>
      </w:pPr>
      <w:r>
        <w:t xml:space="preserve">In these Terms:</w:t>
      </w:r>
    </w:p>
    <w:p>
      <w:pPr>
        <w:pStyle w:val="BodyText"/>
      </w:pPr>
      <w:r>
        <w:rPr>
          <w:b/>
          <w:bCs/>
        </w:rPr>
        <w:t xml:space="preserve">Customer</w:t>
      </w:r>
      <w:r>
        <w:t xml:space="preserve"> </w:t>
      </w:r>
      <w:r>
        <w:t xml:space="preserve">means the organisation purchasing, trialling or using WAIA.</w:t>
      </w:r>
    </w:p>
    <w:p>
      <w:pPr>
        <w:pStyle w:val="BodyText"/>
      </w:pPr>
      <w:r>
        <w:rPr>
          <w:b/>
          <w:bCs/>
        </w:rPr>
        <w:t xml:space="preserve">Customer Data</w:t>
      </w:r>
      <w:r>
        <w:t xml:space="preserve"> </w:t>
      </w:r>
      <w:r>
        <w:t xml:space="preserve">means data, content, records, configuration, guidance, branding, learner information and other information submitted to or generated through WAIA by or on behalf of the Customer.</w:t>
      </w:r>
    </w:p>
    <w:p>
      <w:pPr>
        <w:pStyle w:val="BodyText"/>
      </w:pPr>
      <w:r>
        <w:rPr>
          <w:b/>
          <w:bCs/>
        </w:rPr>
        <w:t xml:space="preserve">Learner</w:t>
      </w:r>
      <w:r>
        <w:t xml:space="preserve"> </w:t>
      </w:r>
      <w:r>
        <w:t xml:space="preserve">means an individual invited to access WAIA by or on behalf of the Customer.</w:t>
      </w:r>
    </w:p>
    <w:p>
      <w:pPr>
        <w:pStyle w:val="BodyText"/>
      </w:pPr>
      <w:r>
        <w:rPr>
          <w:b/>
          <w:bCs/>
        </w:rPr>
        <w:t xml:space="preserve">Organisation Administrator</w:t>
      </w:r>
      <w:r>
        <w:t xml:space="preserve"> </w:t>
      </w:r>
      <w:r>
        <w:t xml:space="preserve">means a user authorised by the Customer to manage WAIA access, settings, learners, guidance, reporting or related functions.</w:t>
      </w:r>
    </w:p>
    <w:p>
      <w:pPr>
        <w:pStyle w:val="BodyText"/>
      </w:pPr>
      <w:r>
        <w:rPr>
          <w:b/>
          <w:bCs/>
        </w:rPr>
        <w:t xml:space="preserve">Platform</w:t>
      </w:r>
      <w:r>
        <w:t xml:space="preserve"> </w:t>
      </w:r>
      <w:r>
        <w:t xml:space="preserve">means WAIA and any related online services, content, learning materials, dashboards, evidence records, acknowledgement tools and reporting features.</w:t>
      </w:r>
    </w:p>
    <w:p>
      <w:pPr>
        <w:pStyle w:val="BodyText"/>
      </w:pPr>
      <w:r>
        <w:rPr>
          <w:b/>
          <w:bCs/>
        </w:rPr>
        <w:t xml:space="preserve">Terms</w:t>
      </w:r>
      <w:r>
        <w:t xml:space="preserve"> </w:t>
      </w:r>
      <w:r>
        <w:t xml:space="preserve">means these WAIA Terms of Service.</w:t>
      </w:r>
    </w:p>
    <w:p>
      <w:pPr>
        <w:pStyle w:val="BodyText"/>
      </w:pPr>
      <w:r>
        <w:rPr>
          <w:b/>
          <w:bCs/>
        </w:rPr>
        <w:t xml:space="preserve">19.2</w:t>
      </w:r>
      <w:r>
        <w:t xml:space="preserve">,</w:t>
      </w:r>
      <w:r>
        <w:t xml:space="preserve"> </w:t>
      </w:r>
      <w:r>
        <w:rPr>
          <w:b/>
          <w:bCs/>
        </w:rPr>
        <w:t xml:space="preserve">Nineteen Point Two</w:t>
      </w:r>
      <w:r>
        <w:t xml:space="preserve">,</w:t>
      </w:r>
      <w:r>
        <w:t xml:space="preserve"> </w:t>
      </w:r>
      <w:r>
        <w:rPr>
          <w:b/>
          <w:bCs/>
        </w:rPr>
        <w:t xml:space="preserve">we</w:t>
      </w:r>
      <w:r>
        <w:t xml:space="preserve">,</w:t>
      </w:r>
      <w:r>
        <w:t xml:space="preserve"> </w:t>
      </w:r>
      <w:r>
        <w:rPr>
          <w:b/>
          <w:bCs/>
        </w:rPr>
        <w:t xml:space="preserve">us</w:t>
      </w:r>
      <w:r>
        <w:t xml:space="preserve"> </w:t>
      </w:r>
      <w:r>
        <w:t xml:space="preserve">and</w:t>
      </w:r>
      <w:r>
        <w:t xml:space="preserve"> </w:t>
      </w:r>
      <w:r>
        <w:rPr>
          <w:b/>
          <w:bCs/>
        </w:rPr>
        <w:t xml:space="preserve">our</w:t>
      </w:r>
      <w:r>
        <w:t xml:space="preserve"> </w:t>
      </w:r>
      <w:r>
        <w:t xml:space="preserve">mean [insert legal entity name].</w:t>
      </w:r>
    </w:p>
    <w:bookmarkEnd w:id="78"/>
    <w:bookmarkStart w:id="79" w:name="the-waia-service"/>
    <w:p>
      <w:pPr>
        <w:pStyle w:val="Heading2"/>
      </w:pPr>
      <w:r>
        <w:t xml:space="preserve">2. The WAIA service</w:t>
      </w:r>
    </w:p>
    <w:p>
      <w:pPr>
        <w:pStyle w:val="FirstParagraph"/>
      </w:pPr>
      <w:r>
        <w:t xml:space="preserve">WAIA is a workplace AI adoption and learning platform designed to help organisations provide practical AI literacy, communicate workplace AI guidance, record learner completion and acknowledgements, and create better visibility of adoption activity.</w:t>
      </w:r>
    </w:p>
    <w:p>
      <w:pPr>
        <w:pStyle w:val="BodyText"/>
      </w:pPr>
      <w:r>
        <w:t xml:space="preserve">WAIA may include:</w:t>
      </w:r>
    </w:p>
    <w:p>
      <w:pPr>
        <w:pStyle w:val="Compact"/>
        <w:numPr>
          <w:ilvl w:val="0"/>
          <w:numId w:val="1016"/>
        </w:numPr>
      </w:pPr>
      <w:r>
        <w:t xml:space="preserve">learner access</w:t>
      </w:r>
    </w:p>
    <w:p>
      <w:pPr>
        <w:pStyle w:val="Compact"/>
        <w:numPr>
          <w:ilvl w:val="0"/>
          <w:numId w:val="1016"/>
        </w:numPr>
      </w:pPr>
      <w:r>
        <w:t xml:space="preserve">course content</w:t>
      </w:r>
    </w:p>
    <w:p>
      <w:pPr>
        <w:pStyle w:val="Compact"/>
        <w:numPr>
          <w:ilvl w:val="0"/>
          <w:numId w:val="1016"/>
        </w:numPr>
      </w:pPr>
      <w:r>
        <w:t xml:space="preserve">manager learning pathways</w:t>
      </w:r>
    </w:p>
    <w:p>
      <w:pPr>
        <w:pStyle w:val="Compact"/>
        <w:numPr>
          <w:ilvl w:val="0"/>
          <w:numId w:val="1016"/>
        </w:numPr>
      </w:pPr>
      <w:r>
        <w:t xml:space="preserve">organisation guidance display</w:t>
      </w:r>
    </w:p>
    <w:p>
      <w:pPr>
        <w:pStyle w:val="Compact"/>
        <w:numPr>
          <w:ilvl w:val="0"/>
          <w:numId w:val="1016"/>
        </w:numPr>
      </w:pPr>
      <w:r>
        <w:t xml:space="preserve">guidance acknowledgement records</w:t>
      </w:r>
    </w:p>
    <w:p>
      <w:pPr>
        <w:pStyle w:val="Compact"/>
        <w:numPr>
          <w:ilvl w:val="0"/>
          <w:numId w:val="1016"/>
        </w:numPr>
      </w:pPr>
      <w:r>
        <w:t xml:space="preserve">learner progress tracking</w:t>
      </w:r>
    </w:p>
    <w:p>
      <w:pPr>
        <w:pStyle w:val="Compact"/>
        <w:numPr>
          <w:ilvl w:val="0"/>
          <w:numId w:val="1016"/>
        </w:numPr>
      </w:pPr>
      <w:r>
        <w:t xml:space="preserve">completion records</w:t>
      </w:r>
    </w:p>
    <w:p>
      <w:pPr>
        <w:pStyle w:val="Compact"/>
        <w:numPr>
          <w:ilvl w:val="0"/>
          <w:numId w:val="1016"/>
        </w:numPr>
      </w:pPr>
      <w:r>
        <w:t xml:space="preserve">certificate or evidence records</w:t>
      </w:r>
    </w:p>
    <w:p>
      <w:pPr>
        <w:pStyle w:val="Compact"/>
        <w:numPr>
          <w:ilvl w:val="0"/>
          <w:numId w:val="1016"/>
        </w:numPr>
      </w:pPr>
      <w:r>
        <w:t xml:space="preserve">organisation administration tools</w:t>
      </w:r>
    </w:p>
    <w:p>
      <w:pPr>
        <w:pStyle w:val="Compact"/>
        <w:numPr>
          <w:ilvl w:val="0"/>
          <w:numId w:val="1016"/>
        </w:numPr>
      </w:pPr>
      <w:r>
        <w:t xml:space="preserve">reporting dashboards</w:t>
      </w:r>
    </w:p>
    <w:p>
      <w:pPr>
        <w:pStyle w:val="Compact"/>
        <w:numPr>
          <w:ilvl w:val="0"/>
          <w:numId w:val="1016"/>
        </w:numPr>
      </w:pPr>
      <w:r>
        <w:t xml:space="preserve">support resources</w:t>
      </w:r>
    </w:p>
    <w:p>
      <w:pPr>
        <w:pStyle w:val="FirstParagraph"/>
      </w:pPr>
      <w:r>
        <w:t xml:space="preserve">The specific services available to a Customer may depend on the purchased package, configuration, deployment stage and agreed scope.</w:t>
      </w:r>
    </w:p>
    <w:bookmarkEnd w:id="79"/>
    <w:bookmarkStart w:id="80" w:name="product-boundary"/>
    <w:p>
      <w:pPr>
        <w:pStyle w:val="Heading2"/>
      </w:pPr>
      <w:r>
        <w:t xml:space="preserve">3. Product boundary</w:t>
      </w:r>
    </w:p>
    <w:p>
      <w:pPr>
        <w:pStyle w:val="FirstParagraph"/>
      </w:pPr>
      <w:r>
        <w:t xml:space="preserve">WAIA supports workplace AI learning, guidance and adoption evidence.</w:t>
      </w:r>
    </w:p>
    <w:p>
      <w:pPr>
        <w:pStyle w:val="BodyText"/>
      </w:pPr>
      <w:r>
        <w:t xml:space="preserve">WAIA does not provide legal advice, HR advice, regulatory advice, employment advice, financial advice, security certification or formal compliance certification.</w:t>
      </w:r>
    </w:p>
    <w:p>
      <w:pPr>
        <w:pStyle w:val="BodyText"/>
      </w:pPr>
      <w:r>
        <w:t xml:space="preserve">WAIA does not guarantee that a Customer will comply with the UK GDPR, EU AI Act, employment law, sector regulation or any internal policy requirement.</w:t>
      </w:r>
    </w:p>
    <w:p>
      <w:pPr>
        <w:pStyle w:val="BodyText"/>
      </w:pPr>
      <w:r>
        <w:t xml:space="preserve">Customers remain responsible for their own policies, governance, risk assessments, HR decisions, employee communications, lawful basis for processing, AI system deployment decisions and internal controls.</w:t>
      </w:r>
    </w:p>
    <w:bookmarkEnd w:id="80"/>
    <w:bookmarkStart w:id="81" w:name="access-and-licence"/>
    <w:p>
      <w:pPr>
        <w:pStyle w:val="Heading2"/>
      </w:pPr>
      <w:r>
        <w:t xml:space="preserve">4. Access and licence</w:t>
      </w:r>
    </w:p>
    <w:p>
      <w:pPr>
        <w:pStyle w:val="FirstParagraph"/>
      </w:pPr>
      <w:r>
        <w:t xml:space="preserve">Subject to payment and compliance with these Terms, Nineteen Point Two grants the Customer a limited, non-exclusive, non-transferable right to access and use WAIA for its internal business purposes during the contract term.</w:t>
      </w:r>
    </w:p>
    <w:p>
      <w:pPr>
        <w:pStyle w:val="BodyText"/>
      </w:pPr>
      <w:r>
        <w:t xml:space="preserve">The Customer must not:</w:t>
      </w:r>
    </w:p>
    <w:p>
      <w:pPr>
        <w:pStyle w:val="Compact"/>
        <w:numPr>
          <w:ilvl w:val="0"/>
          <w:numId w:val="1017"/>
        </w:numPr>
      </w:pPr>
      <w:r>
        <w:t xml:space="preserve">copy, resell, sublicense or commercially exploit WAIA except as expressly agreed</w:t>
      </w:r>
    </w:p>
    <w:p>
      <w:pPr>
        <w:pStyle w:val="Compact"/>
        <w:numPr>
          <w:ilvl w:val="0"/>
          <w:numId w:val="1017"/>
        </w:numPr>
      </w:pPr>
      <w:r>
        <w:t xml:space="preserve">reverse engineer, scrape, reproduce or extract the platform or learning content</w:t>
      </w:r>
    </w:p>
    <w:p>
      <w:pPr>
        <w:pStyle w:val="Compact"/>
        <w:numPr>
          <w:ilvl w:val="0"/>
          <w:numId w:val="1017"/>
        </w:numPr>
      </w:pPr>
      <w:r>
        <w:t xml:space="preserve">remove ownership notices</w:t>
      </w:r>
    </w:p>
    <w:p>
      <w:pPr>
        <w:pStyle w:val="Compact"/>
        <w:numPr>
          <w:ilvl w:val="0"/>
          <w:numId w:val="1017"/>
        </w:numPr>
      </w:pPr>
      <w:r>
        <w:t xml:space="preserve">use WAIA to build a competing product</w:t>
      </w:r>
    </w:p>
    <w:p>
      <w:pPr>
        <w:pStyle w:val="Compact"/>
        <w:numPr>
          <w:ilvl w:val="0"/>
          <w:numId w:val="1017"/>
        </w:numPr>
      </w:pPr>
      <w:r>
        <w:t xml:space="preserve">share access credentials</w:t>
      </w:r>
    </w:p>
    <w:p>
      <w:pPr>
        <w:pStyle w:val="Compact"/>
        <w:numPr>
          <w:ilvl w:val="0"/>
          <w:numId w:val="1017"/>
        </w:numPr>
      </w:pPr>
      <w:r>
        <w:t xml:space="preserve">allow unauthorised users to access the platform</w:t>
      </w:r>
    </w:p>
    <w:p>
      <w:pPr>
        <w:pStyle w:val="Compact"/>
        <w:numPr>
          <w:ilvl w:val="0"/>
          <w:numId w:val="1017"/>
        </w:numPr>
      </w:pPr>
      <w:r>
        <w:t xml:space="preserve">use WAIA unlawfully or in a way that harms the service, other users or Nineteen Point Two</w:t>
      </w:r>
    </w:p>
    <w:bookmarkEnd w:id="81"/>
    <w:bookmarkStart w:id="82" w:name="customer-responsibilities"/>
    <w:p>
      <w:pPr>
        <w:pStyle w:val="Heading2"/>
      </w:pPr>
      <w:r>
        <w:t xml:space="preserve">5. Customer responsibilities</w:t>
      </w:r>
    </w:p>
    <w:p>
      <w:pPr>
        <w:pStyle w:val="FirstParagraph"/>
      </w:pPr>
      <w:r>
        <w:t xml:space="preserve">The Customer is responsible for:</w:t>
      </w:r>
    </w:p>
    <w:p>
      <w:pPr>
        <w:pStyle w:val="Compact"/>
        <w:numPr>
          <w:ilvl w:val="0"/>
          <w:numId w:val="1018"/>
        </w:numPr>
      </w:pPr>
      <w:r>
        <w:t xml:space="preserve">ensuring it has authority to invite learners and process learner data</w:t>
      </w:r>
    </w:p>
    <w:p>
      <w:pPr>
        <w:pStyle w:val="Compact"/>
        <w:numPr>
          <w:ilvl w:val="0"/>
          <w:numId w:val="1018"/>
        </w:numPr>
      </w:pPr>
      <w:r>
        <w:t xml:space="preserve">providing appropriate privacy information to its staff, workers or learners</w:t>
      </w:r>
    </w:p>
    <w:p>
      <w:pPr>
        <w:pStyle w:val="Compact"/>
        <w:numPr>
          <w:ilvl w:val="0"/>
          <w:numId w:val="1018"/>
        </w:numPr>
      </w:pPr>
      <w:r>
        <w:t xml:space="preserve">deciding who should access WAIA</w:t>
      </w:r>
    </w:p>
    <w:p>
      <w:pPr>
        <w:pStyle w:val="Compact"/>
        <w:numPr>
          <w:ilvl w:val="0"/>
          <w:numId w:val="1018"/>
        </w:numPr>
      </w:pPr>
      <w:r>
        <w:t xml:space="preserve">managing Organisation Administrator access</w:t>
      </w:r>
    </w:p>
    <w:p>
      <w:pPr>
        <w:pStyle w:val="Compact"/>
        <w:numPr>
          <w:ilvl w:val="0"/>
          <w:numId w:val="1018"/>
        </w:numPr>
      </w:pPr>
      <w:r>
        <w:t xml:space="preserve">keeping login credentials secure</w:t>
      </w:r>
    </w:p>
    <w:p>
      <w:pPr>
        <w:pStyle w:val="Compact"/>
        <w:numPr>
          <w:ilvl w:val="0"/>
          <w:numId w:val="1018"/>
        </w:numPr>
      </w:pPr>
      <w:r>
        <w:t xml:space="preserve">configuring organisation guidance accurately</w:t>
      </w:r>
    </w:p>
    <w:p>
      <w:pPr>
        <w:pStyle w:val="Compact"/>
        <w:numPr>
          <w:ilvl w:val="0"/>
          <w:numId w:val="1018"/>
        </w:numPr>
      </w:pPr>
      <w:r>
        <w:t xml:space="preserve">ensuring customer-provided guidance, policies, branding and content are lawful and appropriate</w:t>
      </w:r>
    </w:p>
    <w:p>
      <w:pPr>
        <w:pStyle w:val="Compact"/>
        <w:numPr>
          <w:ilvl w:val="0"/>
          <w:numId w:val="1018"/>
        </w:numPr>
      </w:pPr>
      <w:r>
        <w:t xml:space="preserve">not uploading unnecessary or sensitive personal data</w:t>
      </w:r>
    </w:p>
    <w:p>
      <w:pPr>
        <w:pStyle w:val="Compact"/>
        <w:numPr>
          <w:ilvl w:val="0"/>
          <w:numId w:val="1018"/>
        </w:numPr>
      </w:pPr>
      <w:r>
        <w:t xml:space="preserve">using WAIA outputs appropriately and in context</w:t>
      </w:r>
    </w:p>
    <w:p>
      <w:pPr>
        <w:pStyle w:val="Compact"/>
        <w:numPr>
          <w:ilvl w:val="0"/>
          <w:numId w:val="1018"/>
        </w:numPr>
      </w:pPr>
      <w:r>
        <w:t xml:space="preserve">making its own legal, HR, security and governance decisions</w:t>
      </w:r>
    </w:p>
    <w:p>
      <w:pPr>
        <w:pStyle w:val="FirstParagraph"/>
      </w:pPr>
      <w:r>
        <w:t xml:space="preserve">The Customer must not upload special category data unless this has been expressly agreed in writing.</w:t>
      </w:r>
    </w:p>
    <w:bookmarkEnd w:id="82"/>
    <w:bookmarkStart w:id="83" w:name="organisation-administrators"/>
    <w:p>
      <w:pPr>
        <w:pStyle w:val="Heading2"/>
      </w:pPr>
      <w:r>
        <w:t xml:space="preserve">6. Organisation administrators</w:t>
      </w:r>
    </w:p>
    <w:p>
      <w:pPr>
        <w:pStyle w:val="FirstParagraph"/>
      </w:pPr>
      <w:r>
        <w:t xml:space="preserve">Organisation Administrators may be able to invite learners, assign courses, view progress, manage guidance, record acknowledgements, view reporting and configure organisation-level information.</w:t>
      </w:r>
    </w:p>
    <w:p>
      <w:pPr>
        <w:pStyle w:val="BodyText"/>
      </w:pPr>
      <w:r>
        <w:t xml:space="preserve">The Customer is responsible for the actions of its Organisation Administrators and for ensuring only appropriate people receive admin access.</w:t>
      </w:r>
    </w:p>
    <w:bookmarkEnd w:id="83"/>
    <w:bookmarkStart w:id="84" w:name="learner-records-and-evidence"/>
    <w:p>
      <w:pPr>
        <w:pStyle w:val="Heading2"/>
      </w:pPr>
      <w:r>
        <w:t xml:space="preserve">7. Learner records and evidence</w:t>
      </w:r>
    </w:p>
    <w:p>
      <w:pPr>
        <w:pStyle w:val="FirstParagraph"/>
      </w:pPr>
      <w:r>
        <w:t xml:space="preserve">WAIA may record learner access, progress, completion, assessment responses, guidance acknowledgements and certificate status.</w:t>
      </w:r>
    </w:p>
    <w:p>
      <w:pPr>
        <w:pStyle w:val="BodyText"/>
      </w:pPr>
      <w:r>
        <w:t xml:space="preserve">These records are intended to support internal visibility and evidence of learning activity. They should not be treated as a complete measure of employee competence, compliance, performance or risk without wider organisational context.</w:t>
      </w:r>
    </w:p>
    <w:bookmarkEnd w:id="84"/>
    <w:bookmarkStart w:id="85" w:name="fees-and-payment"/>
    <w:p>
      <w:pPr>
        <w:pStyle w:val="Heading2"/>
      </w:pPr>
      <w:r>
        <w:t xml:space="preserve">8. Fees and payment</w:t>
      </w:r>
    </w:p>
    <w:p>
      <w:pPr>
        <w:pStyle w:val="FirstParagraph"/>
      </w:pPr>
      <w:r>
        <w:t xml:space="preserve">Fees, billing frequency, seat numbers, renewal terms and payment arrangements will be set out in the applicable order form, proposal or invoice.</w:t>
      </w:r>
    </w:p>
    <w:p>
      <w:pPr>
        <w:pStyle w:val="BodyText"/>
      </w:pPr>
      <w:r>
        <w:t xml:space="preserve">Unless otherwise agreed:</w:t>
      </w:r>
    </w:p>
    <w:p>
      <w:pPr>
        <w:pStyle w:val="Compact"/>
        <w:numPr>
          <w:ilvl w:val="0"/>
          <w:numId w:val="1019"/>
        </w:numPr>
      </w:pPr>
      <w:r>
        <w:t xml:space="preserve">customer access starts from the invoice date</w:t>
      </w:r>
    </w:p>
    <w:p>
      <w:pPr>
        <w:pStyle w:val="Compact"/>
        <w:numPr>
          <w:ilvl w:val="0"/>
          <w:numId w:val="1019"/>
        </w:numPr>
      </w:pPr>
      <w:r>
        <w:t xml:space="preserve">invoices are payable within 30 days of the invoice date</w:t>
      </w:r>
    </w:p>
    <w:p>
      <w:pPr>
        <w:pStyle w:val="Compact"/>
        <w:numPr>
          <w:ilvl w:val="0"/>
          <w:numId w:val="1019"/>
        </w:numPr>
      </w:pPr>
      <w:r>
        <w:t xml:space="preserve">fees are exclusive of VAT or applicable taxes</w:t>
      </w:r>
    </w:p>
    <w:p>
      <w:pPr>
        <w:pStyle w:val="Compact"/>
        <w:numPr>
          <w:ilvl w:val="0"/>
          <w:numId w:val="1019"/>
        </w:numPr>
      </w:pPr>
      <w:r>
        <w:t xml:space="preserve">payments are non-refundable except where required by law or expressly agreed</w:t>
      </w:r>
    </w:p>
    <w:p>
      <w:pPr>
        <w:pStyle w:val="Compact"/>
        <w:numPr>
          <w:ilvl w:val="0"/>
          <w:numId w:val="1019"/>
        </w:numPr>
      </w:pPr>
      <w:r>
        <w:t xml:space="preserve">late payment may result in suspension of access after reasonable notice</w:t>
      </w:r>
    </w:p>
    <w:p>
      <w:pPr>
        <w:pStyle w:val="Compact"/>
        <w:numPr>
          <w:ilvl w:val="0"/>
          <w:numId w:val="1019"/>
        </w:numPr>
      </w:pPr>
      <w:r>
        <w:t xml:space="preserve">additional seats, services or support may incur additional fees</w:t>
      </w:r>
    </w:p>
    <w:bookmarkEnd w:id="85"/>
    <w:bookmarkStart w:id="86" w:name="trials-and-pilots"/>
    <w:p>
      <w:pPr>
        <w:pStyle w:val="Heading2"/>
      </w:pPr>
      <w:r>
        <w:t xml:space="preserve">9. Trials and pilots</w:t>
      </w:r>
    </w:p>
    <w:p>
      <w:pPr>
        <w:pStyle w:val="FirstParagraph"/>
      </w:pPr>
      <w:r>
        <w:t xml:space="preserve">Where WAIA is provided as a trial, pilot or proof of concept, access may be limited in time, functionality, support or number of users.</w:t>
      </w:r>
    </w:p>
    <w:p>
      <w:pPr>
        <w:pStyle w:val="BodyText"/>
      </w:pPr>
      <w:r>
        <w:t xml:space="preserve">Nineteen Point Two may end a trial or pilot at the end of the agreed period or earlier if the Customer breaches these Terms.</w:t>
      </w:r>
    </w:p>
    <w:bookmarkEnd w:id="86"/>
    <w:bookmarkStart w:id="87" w:name="support-and-availability"/>
    <w:p>
      <w:pPr>
        <w:pStyle w:val="Heading2"/>
      </w:pPr>
      <w:r>
        <w:t xml:space="preserve">10. Support and availability</w:t>
      </w:r>
    </w:p>
    <w:p>
      <w:pPr>
        <w:pStyle w:val="FirstParagraph"/>
      </w:pPr>
      <w:r>
        <w:t xml:space="preserve">Nineteen Point Two will use reasonable efforts to keep WAIA available and operating effectively.</w:t>
      </w:r>
    </w:p>
    <w:p>
      <w:pPr>
        <w:pStyle w:val="BodyText"/>
      </w:pPr>
      <w:r>
        <w:t xml:space="preserve">Unless a separate service level agreement is agreed in writing, WAIA is provided without a guaranteed uptime commitment.</w:t>
      </w:r>
    </w:p>
    <w:p>
      <w:pPr>
        <w:pStyle w:val="BodyText"/>
      </w:pPr>
      <w:r>
        <w:t xml:space="preserve">Support will be provided through the support channels and response approach communicated to the Customer.</w:t>
      </w:r>
    </w:p>
    <w:p>
      <w:pPr>
        <w:pStyle w:val="BodyText"/>
      </w:pPr>
      <w:r>
        <w:t xml:space="preserve">WAIA may be unavailable during maintenance, updates, supplier outages, security events or circumstances outside Nineteen Point Two’s reasonable control.</w:t>
      </w:r>
    </w:p>
    <w:bookmarkEnd w:id="87"/>
    <w:bookmarkStart w:id="88" w:name="changes-to-waia"/>
    <w:p>
      <w:pPr>
        <w:pStyle w:val="Heading2"/>
      </w:pPr>
      <w:r>
        <w:t xml:space="preserve">11. Changes to WAIA</w:t>
      </w:r>
    </w:p>
    <w:p>
      <w:pPr>
        <w:pStyle w:val="FirstParagraph"/>
      </w:pPr>
      <w:r>
        <w:t xml:space="preserve">Nineteen Point Two may update, improve, change or remove features from WAIA over time.</w:t>
      </w:r>
    </w:p>
    <w:p>
      <w:pPr>
        <w:pStyle w:val="BodyText"/>
      </w:pPr>
      <w:r>
        <w:t xml:space="preserve">We will use reasonable efforts not to materially reduce the core functionality of a paid service during an active subscription term without reasonable notice or suitable alternative functionality.</w:t>
      </w:r>
    </w:p>
    <w:bookmarkEnd w:id="88"/>
    <w:bookmarkStart w:id="89" w:name="customer-data"/>
    <w:p>
      <w:pPr>
        <w:pStyle w:val="Heading2"/>
      </w:pPr>
      <w:r>
        <w:t xml:space="preserve">12. Customer Data</w:t>
      </w:r>
    </w:p>
    <w:p>
      <w:pPr>
        <w:pStyle w:val="FirstParagraph"/>
      </w:pPr>
      <w:r>
        <w:t xml:space="preserve">The Customer owns Customer Data.</w:t>
      </w:r>
    </w:p>
    <w:p>
      <w:pPr>
        <w:pStyle w:val="BodyText"/>
      </w:pPr>
      <w:r>
        <w:t xml:space="preserve">Nineteen Point Two may use Customer Data to provide, maintain, secure, support and improve WAIA, comply with law, enforce these Terms and meet contractual obligations.</w:t>
      </w:r>
    </w:p>
    <w:p>
      <w:pPr>
        <w:pStyle w:val="BodyText"/>
      </w:pPr>
      <w:r>
        <w:t xml:space="preserve">Where Customer Data contains personal data processed on behalf of the Customer, the Data Processing Agreement applies.</w:t>
      </w:r>
    </w:p>
    <w:p>
      <w:pPr>
        <w:pStyle w:val="BodyText"/>
      </w:pPr>
      <w:r>
        <w:t xml:space="preserve">The Customer grants Nineteen Point Two the rights needed to host, process, display, transmit and use Customer Data for the purposes of providing WAIA.</w:t>
      </w:r>
    </w:p>
    <w:bookmarkEnd w:id="89"/>
    <w:bookmarkStart w:id="90" w:name="nineteen-point-two-intellectual-property"/>
    <w:p>
      <w:pPr>
        <w:pStyle w:val="Heading2"/>
      </w:pPr>
      <w:r>
        <w:t xml:space="preserve">13. Nineteen Point Two intellectual property</w:t>
      </w:r>
    </w:p>
    <w:p>
      <w:pPr>
        <w:pStyle w:val="FirstParagraph"/>
      </w:pPr>
      <w:r>
        <w:t xml:space="preserve">Nineteen Point Two owns or licenses all rights in WAIA, including the platform, software, workflows, structure, course materials, frameworks, templates, diagnostic logic, content, designs, branding, documentation and related materials.</w:t>
      </w:r>
    </w:p>
    <w:p>
      <w:pPr>
        <w:pStyle w:val="BodyText"/>
      </w:pPr>
      <w:r>
        <w:t xml:space="preserve">The Customer must not copy, distribute, adapt or reuse WAIA content outside the platform unless expressly agreed in writing.</w:t>
      </w:r>
    </w:p>
    <w:bookmarkEnd w:id="90"/>
    <w:bookmarkStart w:id="91" w:name="customer-materials"/>
    <w:p>
      <w:pPr>
        <w:pStyle w:val="Heading2"/>
      </w:pPr>
      <w:r>
        <w:t xml:space="preserve">14. Customer materials</w:t>
      </w:r>
    </w:p>
    <w:p>
      <w:pPr>
        <w:pStyle w:val="FirstParagraph"/>
      </w:pPr>
      <w:r>
        <w:t xml:space="preserve">The Customer retains ownership of its own policies, guidance, logos, branding, uploaded content and Customer Data.</w:t>
      </w:r>
    </w:p>
    <w:p>
      <w:pPr>
        <w:pStyle w:val="BodyText"/>
      </w:pPr>
      <w:r>
        <w:t xml:space="preserve">The Customer warrants that it has the right to provide these materials and that their use in WAIA will not infringe third-party rights or breach law.</w:t>
      </w:r>
    </w:p>
    <w:bookmarkEnd w:id="91"/>
    <w:bookmarkStart w:id="92" w:name="confidentiality"/>
    <w:p>
      <w:pPr>
        <w:pStyle w:val="Heading2"/>
      </w:pPr>
      <w:r>
        <w:t xml:space="preserve">15. Confidentiality</w:t>
      </w:r>
    </w:p>
    <w:p>
      <w:pPr>
        <w:pStyle w:val="FirstParagraph"/>
      </w:pPr>
      <w:r>
        <w:t xml:space="preserve">Each party must keep the other party’s confidential information confidential and use it only for the purposes of the relationship.</w:t>
      </w:r>
    </w:p>
    <w:p>
      <w:pPr>
        <w:pStyle w:val="BodyText"/>
      </w:pPr>
      <w:r>
        <w:t xml:space="preserve">Confidential information includes non-public business, technical, commercial, product, pricing, customer, security and operational information.</w:t>
      </w:r>
    </w:p>
    <w:p>
      <w:pPr>
        <w:pStyle w:val="BodyText"/>
      </w:pPr>
      <w:r>
        <w:t xml:space="preserve">Confidentiality obligations do not apply to information that is public, already known without restriction, independently developed, or lawfully received from a third party.</w:t>
      </w:r>
    </w:p>
    <w:bookmarkEnd w:id="92"/>
    <w:bookmarkStart w:id="93" w:name="data-protection"/>
    <w:p>
      <w:pPr>
        <w:pStyle w:val="Heading2"/>
      </w:pPr>
      <w:r>
        <w:t xml:space="preserve">16. Data protection</w:t>
      </w:r>
    </w:p>
    <w:p>
      <w:pPr>
        <w:pStyle w:val="FirstParagraph"/>
      </w:pPr>
      <w:r>
        <w:t xml:space="preserve">The parties will comply with applicable data protection laws.</w:t>
      </w:r>
    </w:p>
    <w:p>
      <w:pPr>
        <w:pStyle w:val="BodyText"/>
      </w:pPr>
      <w:r>
        <w:t xml:space="preserve">For WAIA learner data, the Customer will usually act as controller and Nineteen Point Two will act as processor.</w:t>
      </w:r>
    </w:p>
    <w:p>
      <w:pPr>
        <w:pStyle w:val="BodyText"/>
      </w:pPr>
      <w:r>
        <w:t xml:space="preserve">The Data Processing Agreement forms part of these Terms where Nineteen Point Two processes Customer Personal Data on behalf of the Customer.</w:t>
      </w:r>
    </w:p>
    <w:bookmarkEnd w:id="93"/>
    <w:bookmarkStart w:id="94" w:name="subprocessors"/>
    <w:p>
      <w:pPr>
        <w:pStyle w:val="Heading2"/>
      </w:pPr>
      <w:r>
        <w:t xml:space="preserve">17. Subprocessors</w:t>
      </w:r>
    </w:p>
    <w:p>
      <w:pPr>
        <w:pStyle w:val="FirstParagraph"/>
      </w:pPr>
      <w:r>
        <w:t xml:space="preserve">Nineteen Point Two may use subprocessors to provide, host, maintain, secure, monitor and support WAIA.</w:t>
      </w:r>
    </w:p>
    <w:p>
      <w:pPr>
        <w:pStyle w:val="BodyText"/>
      </w:pPr>
      <w:r>
        <w:t xml:space="preserve">Nineteen Point Two will remain responsible for subprocessors where they process Customer Personal Data on its behalf, subject to the limits of these Terms and the Data Processing Agreement.</w:t>
      </w:r>
    </w:p>
    <w:p>
      <w:pPr>
        <w:pStyle w:val="BodyText"/>
      </w:pPr>
      <w:r>
        <w:t xml:space="preserve">A current subprocessor list is available at</w:t>
      </w:r>
      <w:r>
        <w:t xml:space="preserve"> </w:t>
      </w:r>
      <w:r>
        <w:rPr>
          <w:rStyle w:val="VerbatimChar"/>
        </w:rPr>
        <w:t xml:space="preserve">/subprocessors/</w:t>
      </w:r>
      <w:r>
        <w:t xml:space="preserve">.</w:t>
      </w:r>
    </w:p>
    <w:bookmarkEnd w:id="94"/>
    <w:bookmarkStart w:id="95" w:name="security-1"/>
    <w:p>
      <w:pPr>
        <w:pStyle w:val="Heading2"/>
      </w:pPr>
      <w:r>
        <w:t xml:space="preserve">18. Security</w:t>
      </w:r>
    </w:p>
    <w:p>
      <w:pPr>
        <w:pStyle w:val="FirstParagraph"/>
      </w:pPr>
      <w:r>
        <w:t xml:space="preserve">Nineteen Point Two will use reasonable technical and organisational measures designed to protect Customer Data against unauthorised access, loss, misuse, alteration or disclosure.</w:t>
      </w:r>
    </w:p>
    <w:p>
      <w:pPr>
        <w:pStyle w:val="BodyText"/>
      </w:pPr>
      <w:r>
        <w:t xml:space="preserve">The Customer is responsible for secure configuration of its own accounts, administrator permissions, user access and internal use of WAIA.</w:t>
      </w:r>
    </w:p>
    <w:bookmarkEnd w:id="95"/>
    <w:bookmarkStart w:id="96" w:name="ai-processing"/>
    <w:p>
      <w:pPr>
        <w:pStyle w:val="Heading2"/>
      </w:pPr>
      <w:r>
        <w:t xml:space="preserve">19. AI processing</w:t>
      </w:r>
    </w:p>
    <w:p>
      <w:pPr>
        <w:pStyle w:val="FirstParagraph"/>
      </w:pPr>
      <w:r>
        <w:t xml:space="preserve">WAIA may include AI-related learning content, guidance, frameworks or adoption support.</w:t>
      </w:r>
    </w:p>
    <w:p>
      <w:pPr>
        <w:pStyle w:val="BodyText"/>
      </w:pPr>
      <w:r>
        <w:t xml:space="preserve">Unless expressly stated in a specific feature or agreement, WAIA does not use Customer Personal Data to train AI models.</w:t>
      </w:r>
    </w:p>
    <w:p>
      <w:pPr>
        <w:pStyle w:val="BodyText"/>
      </w:pPr>
      <w:r>
        <w:t xml:space="preserve">Nineteen Point Two will not intentionally submit Customer Personal Data to third-party AI model providers for model training.</w:t>
      </w:r>
    </w:p>
    <w:p>
      <w:pPr>
        <w:pStyle w:val="BodyText"/>
      </w:pPr>
      <w:r>
        <w:t xml:space="preserve">Any new feature that materially changes how Customer Personal Data is processed by AI systems should be reflected in the relevant customer documentation, privacy notice, data processing terms and subprocessor list.</w:t>
      </w:r>
    </w:p>
    <w:bookmarkEnd w:id="96"/>
    <w:bookmarkStart w:id="97" w:name="acceptable-use"/>
    <w:p>
      <w:pPr>
        <w:pStyle w:val="Heading2"/>
      </w:pPr>
      <w:r>
        <w:t xml:space="preserve">20. Acceptable use</w:t>
      </w:r>
    </w:p>
    <w:p>
      <w:pPr>
        <w:pStyle w:val="FirstParagraph"/>
      </w:pPr>
      <w:r>
        <w:t xml:space="preserve">The Customer and its users must not use WAIA to:</w:t>
      </w:r>
    </w:p>
    <w:p>
      <w:pPr>
        <w:pStyle w:val="Compact"/>
        <w:numPr>
          <w:ilvl w:val="0"/>
          <w:numId w:val="1020"/>
        </w:numPr>
      </w:pPr>
      <w:r>
        <w:t xml:space="preserve">breach law or regulation</w:t>
      </w:r>
    </w:p>
    <w:p>
      <w:pPr>
        <w:pStyle w:val="Compact"/>
        <w:numPr>
          <w:ilvl w:val="0"/>
          <w:numId w:val="1020"/>
        </w:numPr>
      </w:pPr>
      <w:r>
        <w:t xml:space="preserve">infringe third-party rights</w:t>
      </w:r>
    </w:p>
    <w:p>
      <w:pPr>
        <w:pStyle w:val="Compact"/>
        <w:numPr>
          <w:ilvl w:val="0"/>
          <w:numId w:val="1020"/>
        </w:numPr>
      </w:pPr>
      <w:r>
        <w:t xml:space="preserve">upload malware or harmful code</w:t>
      </w:r>
    </w:p>
    <w:p>
      <w:pPr>
        <w:pStyle w:val="Compact"/>
        <w:numPr>
          <w:ilvl w:val="0"/>
          <w:numId w:val="1020"/>
        </w:numPr>
      </w:pPr>
      <w:r>
        <w:t xml:space="preserve">attempt unauthorised access</w:t>
      </w:r>
    </w:p>
    <w:p>
      <w:pPr>
        <w:pStyle w:val="Compact"/>
        <w:numPr>
          <w:ilvl w:val="0"/>
          <w:numId w:val="1020"/>
        </w:numPr>
      </w:pPr>
      <w:r>
        <w:t xml:space="preserve">interfere with platform security or availability</w:t>
      </w:r>
    </w:p>
    <w:p>
      <w:pPr>
        <w:pStyle w:val="Compact"/>
        <w:numPr>
          <w:ilvl w:val="0"/>
          <w:numId w:val="1020"/>
        </w:numPr>
      </w:pPr>
      <w:r>
        <w:t xml:space="preserve">upload unnecessary sensitive personal data</w:t>
      </w:r>
    </w:p>
    <w:p>
      <w:pPr>
        <w:pStyle w:val="Compact"/>
        <w:numPr>
          <w:ilvl w:val="0"/>
          <w:numId w:val="1020"/>
        </w:numPr>
      </w:pPr>
      <w:r>
        <w:t xml:space="preserve">harass, discriminate or harm individuals</w:t>
      </w:r>
    </w:p>
    <w:p>
      <w:pPr>
        <w:pStyle w:val="Compact"/>
        <w:numPr>
          <w:ilvl w:val="0"/>
          <w:numId w:val="1020"/>
        </w:numPr>
      </w:pPr>
      <w:r>
        <w:t xml:space="preserve">make automated employment or legal decisions without appropriate independent review</w:t>
      </w:r>
    </w:p>
    <w:p>
      <w:pPr>
        <w:pStyle w:val="Compact"/>
        <w:numPr>
          <w:ilvl w:val="0"/>
          <w:numId w:val="1020"/>
        </w:numPr>
      </w:pPr>
      <w:r>
        <w:t xml:space="preserve">misrepresent WAIA as providing legal, HR or regulatory certification</w:t>
      </w:r>
    </w:p>
    <w:bookmarkEnd w:id="97"/>
    <w:bookmarkStart w:id="98" w:name="suspension"/>
    <w:p>
      <w:pPr>
        <w:pStyle w:val="Heading2"/>
      </w:pPr>
      <w:r>
        <w:t xml:space="preserve">21. Suspension</w:t>
      </w:r>
    </w:p>
    <w:p>
      <w:pPr>
        <w:pStyle w:val="FirstParagraph"/>
      </w:pPr>
      <w:r>
        <w:t xml:space="preserve">Nineteen Point Two may suspend access where reasonably necessary due to:</w:t>
      </w:r>
    </w:p>
    <w:p>
      <w:pPr>
        <w:pStyle w:val="Compact"/>
        <w:numPr>
          <w:ilvl w:val="0"/>
          <w:numId w:val="1021"/>
        </w:numPr>
      </w:pPr>
      <w:r>
        <w:t xml:space="preserve">non-payment</w:t>
      </w:r>
    </w:p>
    <w:p>
      <w:pPr>
        <w:pStyle w:val="Compact"/>
        <w:numPr>
          <w:ilvl w:val="0"/>
          <w:numId w:val="1021"/>
        </w:numPr>
      </w:pPr>
      <w:r>
        <w:t xml:space="preserve">security risk</w:t>
      </w:r>
    </w:p>
    <w:p>
      <w:pPr>
        <w:pStyle w:val="Compact"/>
        <w:numPr>
          <w:ilvl w:val="0"/>
          <w:numId w:val="1021"/>
        </w:numPr>
      </w:pPr>
      <w:r>
        <w:t xml:space="preserve">suspected misuse</w:t>
      </w:r>
    </w:p>
    <w:p>
      <w:pPr>
        <w:pStyle w:val="Compact"/>
        <w:numPr>
          <w:ilvl w:val="0"/>
          <w:numId w:val="1021"/>
        </w:numPr>
      </w:pPr>
      <w:r>
        <w:t xml:space="preserve">breach of these Terms</w:t>
      </w:r>
    </w:p>
    <w:p>
      <w:pPr>
        <w:pStyle w:val="Compact"/>
        <w:numPr>
          <w:ilvl w:val="0"/>
          <w:numId w:val="1021"/>
        </w:numPr>
      </w:pPr>
      <w:r>
        <w:t xml:space="preserve">legal or regulatory requirement</w:t>
      </w:r>
    </w:p>
    <w:p>
      <w:pPr>
        <w:pStyle w:val="Compact"/>
        <w:numPr>
          <w:ilvl w:val="0"/>
          <w:numId w:val="1021"/>
        </w:numPr>
      </w:pPr>
      <w:r>
        <w:t xml:space="preserve">supplier suspension or serious technical issue</w:t>
      </w:r>
    </w:p>
    <w:p>
      <w:pPr>
        <w:pStyle w:val="FirstParagraph"/>
      </w:pPr>
      <w:r>
        <w:t xml:space="preserve">Where practical and lawful, Nineteen Point Two will provide notice and an opportunity to resolve the issue.</w:t>
      </w:r>
    </w:p>
    <w:bookmarkEnd w:id="98"/>
    <w:bookmarkStart w:id="99" w:name="warranties-and-disclaimers"/>
    <w:p>
      <w:pPr>
        <w:pStyle w:val="Heading2"/>
      </w:pPr>
      <w:r>
        <w:t xml:space="preserve">22. Warranties and disclaimers</w:t>
      </w:r>
    </w:p>
    <w:p>
      <w:pPr>
        <w:pStyle w:val="FirstParagraph"/>
      </w:pPr>
      <w:r>
        <w:t xml:space="preserve">Nineteen Point Two will provide WAIA with reasonable skill and care.</w:t>
      </w:r>
    </w:p>
    <w:p>
      <w:pPr>
        <w:pStyle w:val="BodyText"/>
      </w:pPr>
      <w:r>
        <w:t xml:space="preserve">WAIA is provided as a practical learning, adoption and evidence support tool. It is not a substitute for professional advice or the Customer’s own governance processes.</w:t>
      </w:r>
    </w:p>
    <w:p>
      <w:pPr>
        <w:pStyle w:val="BodyText"/>
      </w:pPr>
      <w:r>
        <w:t xml:space="preserve">Except as expressly stated, WAIA is provided without warranties that it will be uninterrupted, error-free, meet every Customer requirement or ensure compliance with any specific legal or regulatory obligation.</w:t>
      </w:r>
    </w:p>
    <w:bookmarkEnd w:id="99"/>
    <w:bookmarkStart w:id="100" w:name="liability"/>
    <w:p>
      <w:pPr>
        <w:pStyle w:val="Heading2"/>
      </w:pPr>
      <w:r>
        <w:t xml:space="preserve">23. Liability</w:t>
      </w:r>
    </w:p>
    <w:p>
      <w:pPr>
        <w:pStyle w:val="FirstParagraph"/>
      </w:pPr>
      <w:r>
        <w:t xml:space="preserve">Nothing in these Terms limits or excludes liability that cannot lawfully be limited or excluded, including liability for death or personal injury caused by negligence, fraud or fraudulent misrepresentation.</w:t>
      </w:r>
    </w:p>
    <w:p>
      <w:pPr>
        <w:pStyle w:val="BodyText"/>
      </w:pPr>
      <w:r>
        <w:t xml:space="preserve">Subject to that, Nineteen Point Two’s total aggregate liability arising out of or relating to WAIA will be limited to the fees paid or payable by the Customer for WAIA in the 12 months before the event giving rise to the claim.</w:t>
      </w:r>
    </w:p>
    <w:p>
      <w:pPr>
        <w:pStyle w:val="BodyText"/>
      </w:pPr>
      <w:r>
        <w:t xml:space="preserve">Nineteen Point Two will not be liable for indirect or consequential loss, loss of profit, loss of revenue, loss of anticipated savings, loss of goodwill, loss of business opportunity, loss of data caused by Customer action, or losses caused by the Customer’s internal decisions, policies, governance or use of WAIA outputs.</w:t>
      </w:r>
    </w:p>
    <w:p>
      <w:pPr>
        <w:pStyle w:val="BodyText"/>
      </w:pPr>
      <w:r>
        <w:t xml:space="preserve">This clause should be reviewed by a solicitor before use.</w:t>
      </w:r>
    </w:p>
    <w:bookmarkEnd w:id="100"/>
    <w:bookmarkStart w:id="101" w:name="term-and-termination"/>
    <w:p>
      <w:pPr>
        <w:pStyle w:val="Heading2"/>
      </w:pPr>
      <w:r>
        <w:t xml:space="preserve">24. Term and termination</w:t>
      </w:r>
    </w:p>
    <w:p>
      <w:pPr>
        <w:pStyle w:val="FirstParagraph"/>
      </w:pPr>
      <w:r>
        <w:t xml:space="preserve">The term will be set out in the order form, proposal or agreement.</w:t>
      </w:r>
    </w:p>
    <w:p>
      <w:pPr>
        <w:pStyle w:val="BodyText"/>
      </w:pPr>
      <w:r>
        <w:t xml:space="preserve">Either party may terminate if the other party commits a material breach and fails to remedy it within a reasonable period after written notice.</w:t>
      </w:r>
    </w:p>
    <w:p>
      <w:pPr>
        <w:pStyle w:val="BodyText"/>
      </w:pPr>
      <w:r>
        <w:t xml:space="preserve">Nineteen Point Two may terminate or suspend access for non-payment, serious misuse, security risk or legal requirement.</w:t>
      </w:r>
    </w:p>
    <w:p>
      <w:pPr>
        <w:pStyle w:val="BodyText"/>
      </w:pPr>
      <w:r>
        <w:t xml:space="preserve">On termination, the Customer’s access to WAIA will end, subject to any agreed export, transition or retention arrangements.</w:t>
      </w:r>
    </w:p>
    <w:bookmarkEnd w:id="101"/>
    <w:bookmarkStart w:id="102" w:name="data-export-and-deletion"/>
    <w:p>
      <w:pPr>
        <w:pStyle w:val="Heading2"/>
      </w:pPr>
      <w:r>
        <w:t xml:space="preserve">25. Data export and deletion</w:t>
      </w:r>
    </w:p>
    <w:p>
      <w:pPr>
        <w:pStyle w:val="FirstParagraph"/>
      </w:pPr>
      <w:r>
        <w:t xml:space="preserve">Following termination, Nineteen Point Two will handle Customer Data in line with the Data Processing Agreement and any agreed order form terms.</w:t>
      </w:r>
    </w:p>
    <w:p>
      <w:pPr>
        <w:pStyle w:val="BodyText"/>
      </w:pPr>
      <w:r>
        <w:t xml:space="preserve">Customer Personal Data will be returned, exported, deleted or retained only as required by law, agreed retention periods, backup processes or legitimate business needs.</w:t>
      </w:r>
    </w:p>
    <w:bookmarkEnd w:id="102"/>
    <w:bookmarkStart w:id="103" w:name="publicity"/>
    <w:p>
      <w:pPr>
        <w:pStyle w:val="Heading2"/>
      </w:pPr>
      <w:r>
        <w:t xml:space="preserve">26. Publicity</w:t>
      </w:r>
    </w:p>
    <w:p>
      <w:pPr>
        <w:pStyle w:val="FirstParagraph"/>
      </w:pPr>
      <w:r>
        <w:t xml:space="preserve">Nineteen Point Two may identify the Customer as a customer only with the Customer’s prior consent, unless otherwise agreed in the order form.</w:t>
      </w:r>
    </w:p>
    <w:bookmarkEnd w:id="103"/>
    <w:bookmarkStart w:id="104" w:name="assignment"/>
    <w:p>
      <w:pPr>
        <w:pStyle w:val="Heading2"/>
      </w:pPr>
      <w:r>
        <w:t xml:space="preserve">27. Assignment</w:t>
      </w:r>
    </w:p>
    <w:p>
      <w:pPr>
        <w:pStyle w:val="FirstParagraph"/>
      </w:pPr>
      <w:r>
        <w:t xml:space="preserve">The Customer may not assign or transfer its rights or obligations without Nineteen Point Two’s prior written consent.</w:t>
      </w:r>
    </w:p>
    <w:p>
      <w:pPr>
        <w:pStyle w:val="BodyText"/>
      </w:pPr>
      <w:r>
        <w:t xml:space="preserve">Nineteen Point Two may assign or transfer its rights and obligations as part of a business sale, restructuring or transfer, provided this does not materially reduce the Customer’s rights.</w:t>
      </w:r>
    </w:p>
    <w:bookmarkEnd w:id="104"/>
    <w:bookmarkStart w:id="105" w:name="governing-law-and-jurisdiction"/>
    <w:p>
      <w:pPr>
        <w:pStyle w:val="Heading2"/>
      </w:pPr>
      <w:r>
        <w:t xml:space="preserve">28. Governing law and jurisdiction</w:t>
      </w:r>
    </w:p>
    <w:p>
      <w:pPr>
        <w:pStyle w:val="FirstParagraph"/>
      </w:pPr>
      <w:r>
        <w:t xml:space="preserve">These Terms are governed by the laws of England and Wales.</w:t>
      </w:r>
    </w:p>
    <w:p>
      <w:pPr>
        <w:pStyle w:val="BodyText"/>
      </w:pPr>
      <w:r>
        <w:t xml:space="preserve">The courts of England and Wales will have exclusive jurisdiction, unless otherwise agreed in writing.</w:t>
      </w:r>
    </w:p>
    <w:bookmarkEnd w:id="105"/>
    <w:bookmarkStart w:id="106" w:name="contact-4"/>
    <w:p>
      <w:pPr>
        <w:pStyle w:val="Heading2"/>
      </w:pPr>
      <w:r>
        <w:t xml:space="preserve">29. Contact</w:t>
      </w:r>
    </w:p>
    <w:p>
      <w:pPr>
        <w:pStyle w:val="FirstParagraph"/>
      </w:pPr>
      <w:r>
        <w:t xml:space="preserve">Contract notices should be sent to:</w:t>
      </w:r>
    </w:p>
    <w:p>
      <w:pPr>
        <w:pStyle w:val="BodyText"/>
      </w:pPr>
      <w:r>
        <w:rPr>
          <w:b/>
          <w:bCs/>
        </w:rPr>
        <w:t xml:space="preserve">Nineteen Point Two</w:t>
      </w:r>
      <w:r>
        <w:br/>
      </w:r>
      <w:r>
        <w:rPr>
          <w:b/>
          <w:bCs/>
        </w:rPr>
        <w:t xml:space="preserve">C/O James Todd &amp; Co Furzehall Farm, 110 Wickham Road, Fareham, Hampshire, United Kingdom, PO16 7JH</w:t>
      </w:r>
      <w:r>
        <w:br/>
      </w:r>
      <w:r>
        <w:rPr>
          <w:b/>
          <w:bCs/>
        </w:rPr>
        <w:t xml:space="preserve">ben@nineteenpointtwo.com</w:t>
      </w:r>
    </w:p>
    <w:p>
      <w:r>
        <w:pict>
          <v:rect style="width:0;height:1.5pt" o:hralign="center" o:hrstd="t" o:hr="t"/>
        </w:pict>
      </w:r>
    </w:p>
    <w:bookmarkEnd w:id="106"/>
    <w:bookmarkEnd w:id="107"/>
    <w:bookmarkStart w:id="135" w:name="data-processing-agreement-1"/>
    <w:p>
      <w:pPr>
        <w:pStyle w:val="Heading1"/>
      </w:pPr>
      <w:r>
        <w:t xml:space="preserve">6. Data Processing Agreement</w:t>
      </w:r>
    </w:p>
    <w:p>
      <w:pPr>
        <w:pStyle w:val="FirstParagraph"/>
      </w:pPr>
      <w:r>
        <w:rPr>
          <w:b/>
          <w:bCs/>
        </w:rPr>
        <w:t xml:space="preserve">Suggested route:</w:t>
      </w:r>
      <w:r>
        <w:t xml:space="preserve"> </w:t>
      </w:r>
      <w:r>
        <w:rPr>
          <w:rStyle w:val="VerbatimChar"/>
        </w:rPr>
        <w:t xml:space="preserve">/data-processing-agreement/</w:t>
      </w:r>
    </w:p>
    <w:bookmarkStart w:id="108" w:name="data-processing-agreement-2"/>
    <w:p>
      <w:pPr>
        <w:pStyle w:val="Heading2"/>
      </w:pPr>
      <w:r>
        <w:t xml:space="preserve">Data Processing Agreement</w:t>
      </w:r>
    </w:p>
    <w:p>
      <w:pPr>
        <w:pStyle w:val="FirstParagraph"/>
      </w:pPr>
      <w:r>
        <w:t xml:space="preserve">This Data Processing Agreement forms part of the WAIA Terms of Service or other written agreement between Nineteen Point Two and the Customer.</w:t>
      </w:r>
    </w:p>
    <w:p>
      <w:pPr>
        <w:pStyle w:val="BodyText"/>
      </w:pPr>
      <w:r>
        <w:t xml:space="preserve">It applies where Nineteen Point Two processes Customer Personal Data on behalf of the Customer in connection with WAIA.</w:t>
      </w:r>
    </w:p>
    <w:bookmarkEnd w:id="108"/>
    <w:bookmarkStart w:id="109" w:name="definitions-1"/>
    <w:p>
      <w:pPr>
        <w:pStyle w:val="Heading2"/>
      </w:pPr>
      <w:r>
        <w:t xml:space="preserve">1. Definitions</w:t>
      </w:r>
    </w:p>
    <w:p>
      <w:pPr>
        <w:pStyle w:val="FirstParagraph"/>
      </w:pPr>
      <w:r>
        <w:rPr>
          <w:b/>
          <w:bCs/>
        </w:rPr>
        <w:t xml:space="preserve">Controller</w:t>
      </w:r>
      <w:r>
        <w:t xml:space="preserve">,</w:t>
      </w:r>
      <w:r>
        <w:t xml:space="preserve"> </w:t>
      </w:r>
      <w:r>
        <w:rPr>
          <w:b/>
          <w:bCs/>
        </w:rPr>
        <w:t xml:space="preserve">processor</w:t>
      </w:r>
      <w:r>
        <w:t xml:space="preserve">,</w:t>
      </w:r>
      <w:r>
        <w:t xml:space="preserve"> </w:t>
      </w:r>
      <w:r>
        <w:rPr>
          <w:b/>
          <w:bCs/>
        </w:rPr>
        <w:t xml:space="preserve">data subject</w:t>
      </w:r>
      <w:r>
        <w:t xml:space="preserve">,</w:t>
      </w:r>
      <w:r>
        <w:t xml:space="preserve"> </w:t>
      </w:r>
      <w:r>
        <w:rPr>
          <w:b/>
          <w:bCs/>
        </w:rPr>
        <w:t xml:space="preserve">personal data</w:t>
      </w:r>
      <w:r>
        <w:t xml:space="preserve">,</w:t>
      </w:r>
      <w:r>
        <w:t xml:space="preserve"> </w:t>
      </w:r>
      <w:r>
        <w:rPr>
          <w:b/>
          <w:bCs/>
        </w:rPr>
        <w:t xml:space="preserve">processing</w:t>
      </w:r>
      <w:r>
        <w:t xml:space="preserve">,</w:t>
      </w:r>
      <w:r>
        <w:t xml:space="preserve"> </w:t>
      </w:r>
      <w:r>
        <w:rPr>
          <w:b/>
          <w:bCs/>
        </w:rPr>
        <w:t xml:space="preserve">personal data breach</w:t>
      </w:r>
      <w:r>
        <w:t xml:space="preserve"> </w:t>
      </w:r>
      <w:r>
        <w:t xml:space="preserve">and</w:t>
      </w:r>
      <w:r>
        <w:t xml:space="preserve"> </w:t>
      </w:r>
      <w:r>
        <w:rPr>
          <w:b/>
          <w:bCs/>
        </w:rPr>
        <w:t xml:space="preserve">special category data</w:t>
      </w:r>
      <w:r>
        <w:t xml:space="preserve"> </w:t>
      </w:r>
      <w:r>
        <w:t xml:space="preserve">have the meanings given in applicable data protection laws.</w:t>
      </w:r>
    </w:p>
    <w:p>
      <w:pPr>
        <w:pStyle w:val="BodyText"/>
      </w:pPr>
      <w:r>
        <w:rPr>
          <w:b/>
          <w:bCs/>
        </w:rPr>
        <w:t xml:space="preserve">Customer Personal Data</w:t>
      </w:r>
      <w:r>
        <w:t xml:space="preserve"> </w:t>
      </w:r>
      <w:r>
        <w:t xml:space="preserve">means personal data processed by Nineteen Point Two on behalf of the Customer through WAIA.</w:t>
      </w:r>
    </w:p>
    <w:p>
      <w:pPr>
        <w:pStyle w:val="BodyText"/>
      </w:pPr>
      <w:r>
        <w:rPr>
          <w:b/>
          <w:bCs/>
        </w:rPr>
        <w:t xml:space="preserve">Data Protection Laws</w:t>
      </w:r>
      <w:r>
        <w:t xml:space="preserve"> </w:t>
      </w:r>
      <w:r>
        <w:t xml:space="preserve">means all applicable data protection and privacy laws, including the UK GDPR, Data Protection Act 2018 and, where applicable, the EU GDPR.</w:t>
      </w:r>
    </w:p>
    <w:p>
      <w:pPr>
        <w:pStyle w:val="BodyText"/>
      </w:pPr>
      <w:r>
        <w:rPr>
          <w:b/>
          <w:bCs/>
        </w:rPr>
        <w:t xml:space="preserve">Subprocessor</w:t>
      </w:r>
      <w:r>
        <w:t xml:space="preserve"> </w:t>
      </w:r>
      <w:r>
        <w:t xml:space="preserve">means a third party appointed by Nineteen Point Two to process Customer Personal Data on behalf of Nineteen Point Two.</w:t>
      </w:r>
    </w:p>
    <w:bookmarkEnd w:id="109"/>
    <w:bookmarkStart w:id="110" w:name="roles-of-the-parties"/>
    <w:p>
      <w:pPr>
        <w:pStyle w:val="Heading2"/>
      </w:pPr>
      <w:r>
        <w:t xml:space="preserve">2. Roles of the parties</w:t>
      </w:r>
    </w:p>
    <w:p>
      <w:pPr>
        <w:pStyle w:val="FirstParagraph"/>
      </w:pPr>
      <w:r>
        <w:t xml:space="preserve">For Customer Personal Data processed through WAIA:</w:t>
      </w:r>
    </w:p>
    <w:p>
      <w:pPr>
        <w:pStyle w:val="Compact"/>
        <w:numPr>
          <w:ilvl w:val="0"/>
          <w:numId w:val="1022"/>
        </w:numPr>
      </w:pPr>
      <w:r>
        <w:t xml:space="preserve">the Customer is controller</w:t>
      </w:r>
    </w:p>
    <w:p>
      <w:pPr>
        <w:pStyle w:val="Compact"/>
        <w:numPr>
          <w:ilvl w:val="0"/>
          <w:numId w:val="1022"/>
        </w:numPr>
      </w:pPr>
      <w:r>
        <w:t xml:space="preserve">Nineteen Point Two is processor</w:t>
      </w:r>
    </w:p>
    <w:p>
      <w:pPr>
        <w:pStyle w:val="FirstParagraph"/>
      </w:pPr>
      <w:r>
        <w:t xml:space="preserve">The Customer determines the purposes and lawful basis for processing Customer Personal Data.</w:t>
      </w:r>
    </w:p>
    <w:p>
      <w:pPr>
        <w:pStyle w:val="BodyText"/>
      </w:pPr>
      <w:r>
        <w:t xml:space="preserve">Nineteen Point Two processes Customer Personal Data only to provide, secure, support and maintain WAIA, and in accordance with the Customer’s documented instructions.</w:t>
      </w:r>
    </w:p>
    <w:bookmarkEnd w:id="110"/>
    <w:bookmarkStart w:id="111" w:name="processing-details"/>
    <w:p>
      <w:pPr>
        <w:pStyle w:val="Heading2"/>
      </w:pPr>
      <w:r>
        <w:t xml:space="preserve">3. Processing details</w:t>
      </w:r>
    </w:p>
    <w:p>
      <w:pPr>
        <w:pStyle w:val="FirstParagraph"/>
      </w:pPr>
      <w:r>
        <w:t xml:space="preserve">The details of processing are set out in Schedule 1.</w:t>
      </w:r>
    </w:p>
    <w:bookmarkEnd w:id="111"/>
    <w:bookmarkStart w:id="112" w:name="customer-instructions"/>
    <w:p>
      <w:pPr>
        <w:pStyle w:val="Heading2"/>
      </w:pPr>
      <w:r>
        <w:t xml:space="preserve">4. Customer instructions</w:t>
      </w:r>
    </w:p>
    <w:p>
      <w:pPr>
        <w:pStyle w:val="FirstParagraph"/>
      </w:pPr>
      <w:r>
        <w:t xml:space="preserve">The Customer instructs Nineteen Point Two to process Customer Personal Data as necessary to:</w:t>
      </w:r>
    </w:p>
    <w:p>
      <w:pPr>
        <w:pStyle w:val="Compact"/>
        <w:numPr>
          <w:ilvl w:val="0"/>
          <w:numId w:val="1023"/>
        </w:numPr>
      </w:pPr>
      <w:r>
        <w:t xml:space="preserve">provide WAIA</w:t>
      </w:r>
    </w:p>
    <w:p>
      <w:pPr>
        <w:pStyle w:val="Compact"/>
        <w:numPr>
          <w:ilvl w:val="0"/>
          <w:numId w:val="1023"/>
        </w:numPr>
      </w:pPr>
      <w:r>
        <w:t xml:space="preserve">create and manage user accounts</w:t>
      </w:r>
    </w:p>
    <w:p>
      <w:pPr>
        <w:pStyle w:val="Compact"/>
        <w:numPr>
          <w:ilvl w:val="0"/>
          <w:numId w:val="1023"/>
        </w:numPr>
      </w:pPr>
      <w:r>
        <w:t xml:space="preserve">invite learners</w:t>
      </w:r>
    </w:p>
    <w:p>
      <w:pPr>
        <w:pStyle w:val="Compact"/>
        <w:numPr>
          <w:ilvl w:val="0"/>
          <w:numId w:val="1023"/>
        </w:numPr>
      </w:pPr>
      <w:r>
        <w:t xml:space="preserve">assign learning</w:t>
      </w:r>
    </w:p>
    <w:p>
      <w:pPr>
        <w:pStyle w:val="Compact"/>
        <w:numPr>
          <w:ilvl w:val="0"/>
          <w:numId w:val="1023"/>
        </w:numPr>
      </w:pPr>
      <w:r>
        <w:t xml:space="preserve">display organisation guidance</w:t>
      </w:r>
    </w:p>
    <w:p>
      <w:pPr>
        <w:pStyle w:val="Compact"/>
        <w:numPr>
          <w:ilvl w:val="0"/>
          <w:numId w:val="1023"/>
        </w:numPr>
      </w:pPr>
      <w:r>
        <w:t xml:space="preserve">record progress and completion</w:t>
      </w:r>
    </w:p>
    <w:p>
      <w:pPr>
        <w:pStyle w:val="Compact"/>
        <w:numPr>
          <w:ilvl w:val="0"/>
          <w:numId w:val="1023"/>
        </w:numPr>
      </w:pPr>
      <w:r>
        <w:t xml:space="preserve">record guidance acknowledgements</w:t>
      </w:r>
    </w:p>
    <w:p>
      <w:pPr>
        <w:pStyle w:val="Compact"/>
        <w:numPr>
          <w:ilvl w:val="0"/>
          <w:numId w:val="1023"/>
        </w:numPr>
      </w:pPr>
      <w:r>
        <w:t xml:space="preserve">provide administrator reporting</w:t>
      </w:r>
    </w:p>
    <w:p>
      <w:pPr>
        <w:pStyle w:val="Compact"/>
        <w:numPr>
          <w:ilvl w:val="0"/>
          <w:numId w:val="1023"/>
        </w:numPr>
      </w:pPr>
      <w:r>
        <w:t xml:space="preserve">provide support</w:t>
      </w:r>
    </w:p>
    <w:p>
      <w:pPr>
        <w:pStyle w:val="Compact"/>
        <w:numPr>
          <w:ilvl w:val="0"/>
          <w:numId w:val="1023"/>
        </w:numPr>
      </w:pPr>
      <w:r>
        <w:t xml:space="preserve">maintain platform security and reliability</w:t>
      </w:r>
    </w:p>
    <w:p>
      <w:pPr>
        <w:pStyle w:val="Compact"/>
        <w:numPr>
          <w:ilvl w:val="0"/>
          <w:numId w:val="1023"/>
        </w:numPr>
      </w:pPr>
      <w:r>
        <w:t xml:space="preserve">comply with agreed contractual obligations</w:t>
      </w:r>
    </w:p>
    <w:p>
      <w:pPr>
        <w:pStyle w:val="FirstParagraph"/>
      </w:pPr>
      <w:r>
        <w:t xml:space="preserve">The Customer may issue additional documented instructions where consistent with the agreement and applicable law.</w:t>
      </w:r>
    </w:p>
    <w:p>
      <w:pPr>
        <w:pStyle w:val="BodyText"/>
      </w:pPr>
      <w:r>
        <w:t xml:space="preserve">Nineteen Point Two will inform the Customer if it believes an instruction breaches Data Protection Laws, unless prohibited by law.</w:t>
      </w:r>
    </w:p>
    <w:bookmarkEnd w:id="112"/>
    <w:bookmarkStart w:id="113" w:name="customer-responsibilities-1"/>
    <w:p>
      <w:pPr>
        <w:pStyle w:val="Heading2"/>
      </w:pPr>
      <w:r>
        <w:t xml:space="preserve">5. Customer responsibilities</w:t>
      </w:r>
    </w:p>
    <w:p>
      <w:pPr>
        <w:pStyle w:val="FirstParagraph"/>
      </w:pPr>
      <w:r>
        <w:t xml:space="preserve">The Customer is responsible for:</w:t>
      </w:r>
    </w:p>
    <w:p>
      <w:pPr>
        <w:pStyle w:val="Compact"/>
        <w:numPr>
          <w:ilvl w:val="0"/>
          <w:numId w:val="1024"/>
        </w:numPr>
      </w:pPr>
      <w:r>
        <w:t xml:space="preserve">complying with Data Protection Laws</w:t>
      </w:r>
    </w:p>
    <w:p>
      <w:pPr>
        <w:pStyle w:val="Compact"/>
        <w:numPr>
          <w:ilvl w:val="0"/>
          <w:numId w:val="1024"/>
        </w:numPr>
      </w:pPr>
      <w:r>
        <w:t xml:space="preserve">having a lawful basis for processing Customer Personal Data</w:t>
      </w:r>
    </w:p>
    <w:p>
      <w:pPr>
        <w:pStyle w:val="Compact"/>
        <w:numPr>
          <w:ilvl w:val="0"/>
          <w:numId w:val="1024"/>
        </w:numPr>
      </w:pPr>
      <w:r>
        <w:t xml:space="preserve">providing privacy information to learners and administrators where required</w:t>
      </w:r>
    </w:p>
    <w:p>
      <w:pPr>
        <w:pStyle w:val="Compact"/>
        <w:numPr>
          <w:ilvl w:val="0"/>
          <w:numId w:val="1024"/>
        </w:numPr>
      </w:pPr>
      <w:r>
        <w:t xml:space="preserve">ensuring the accuracy of Customer Personal Data</w:t>
      </w:r>
    </w:p>
    <w:p>
      <w:pPr>
        <w:pStyle w:val="Compact"/>
        <w:numPr>
          <w:ilvl w:val="0"/>
          <w:numId w:val="1024"/>
        </w:numPr>
      </w:pPr>
      <w:r>
        <w:t xml:space="preserve">ensuring only appropriate users are invited</w:t>
      </w:r>
    </w:p>
    <w:p>
      <w:pPr>
        <w:pStyle w:val="Compact"/>
        <w:numPr>
          <w:ilvl w:val="0"/>
          <w:numId w:val="1024"/>
        </w:numPr>
      </w:pPr>
      <w:r>
        <w:t xml:space="preserve">managing administrator permissions</w:t>
      </w:r>
    </w:p>
    <w:p>
      <w:pPr>
        <w:pStyle w:val="Compact"/>
        <w:numPr>
          <w:ilvl w:val="0"/>
          <w:numId w:val="1024"/>
        </w:numPr>
      </w:pPr>
      <w:r>
        <w:t xml:space="preserve">avoiding unnecessary special category data</w:t>
      </w:r>
    </w:p>
    <w:p>
      <w:pPr>
        <w:pStyle w:val="Compact"/>
        <w:numPr>
          <w:ilvl w:val="0"/>
          <w:numId w:val="1024"/>
        </w:numPr>
      </w:pPr>
      <w:r>
        <w:t xml:space="preserve">deciding how WAIA records are used internally</w:t>
      </w:r>
    </w:p>
    <w:p>
      <w:pPr>
        <w:pStyle w:val="Compact"/>
        <w:numPr>
          <w:ilvl w:val="0"/>
          <w:numId w:val="1024"/>
        </w:numPr>
      </w:pPr>
      <w:r>
        <w:t xml:space="preserve">responding to data subject requests where the Customer is controller</w:t>
      </w:r>
    </w:p>
    <w:bookmarkEnd w:id="113"/>
    <w:bookmarkStart w:id="114" w:name="nineteen-point-two-responsibilities"/>
    <w:p>
      <w:pPr>
        <w:pStyle w:val="Heading2"/>
      </w:pPr>
      <w:r>
        <w:t xml:space="preserve">6. Nineteen Point Two responsibilities</w:t>
      </w:r>
    </w:p>
    <w:p>
      <w:pPr>
        <w:pStyle w:val="FirstParagraph"/>
      </w:pPr>
      <w:r>
        <w:t xml:space="preserve">Nineteen Point Two will:</w:t>
      </w:r>
    </w:p>
    <w:p>
      <w:pPr>
        <w:pStyle w:val="Compact"/>
        <w:numPr>
          <w:ilvl w:val="0"/>
          <w:numId w:val="1025"/>
        </w:numPr>
      </w:pPr>
      <w:r>
        <w:t xml:space="preserve">process Customer Personal Data only on documented instructions</w:t>
      </w:r>
    </w:p>
    <w:p>
      <w:pPr>
        <w:pStyle w:val="Compact"/>
        <w:numPr>
          <w:ilvl w:val="0"/>
          <w:numId w:val="1025"/>
        </w:numPr>
      </w:pPr>
      <w:r>
        <w:t xml:space="preserve">ensure authorised personnel are subject to confidentiality obligations</w:t>
      </w:r>
    </w:p>
    <w:p>
      <w:pPr>
        <w:pStyle w:val="Compact"/>
        <w:numPr>
          <w:ilvl w:val="0"/>
          <w:numId w:val="1025"/>
        </w:numPr>
      </w:pPr>
      <w:r>
        <w:t xml:space="preserve">implement reasonable technical and organisational security measures</w:t>
      </w:r>
    </w:p>
    <w:p>
      <w:pPr>
        <w:pStyle w:val="Compact"/>
        <w:numPr>
          <w:ilvl w:val="0"/>
          <w:numId w:val="1025"/>
        </w:numPr>
      </w:pPr>
      <w:r>
        <w:t xml:space="preserve">assist the Customer with data subject requests where reasonably required</w:t>
      </w:r>
    </w:p>
    <w:p>
      <w:pPr>
        <w:pStyle w:val="Compact"/>
        <w:numPr>
          <w:ilvl w:val="0"/>
          <w:numId w:val="1025"/>
        </w:numPr>
      </w:pPr>
      <w:r>
        <w:t xml:space="preserve">assist with security, breach notification and DPIA obligations where reasonably required</w:t>
      </w:r>
    </w:p>
    <w:p>
      <w:pPr>
        <w:pStyle w:val="Compact"/>
        <w:numPr>
          <w:ilvl w:val="0"/>
          <w:numId w:val="1025"/>
        </w:numPr>
      </w:pPr>
      <w:r>
        <w:t xml:space="preserve">use subprocessors only in line with this DPA</w:t>
      </w:r>
    </w:p>
    <w:p>
      <w:pPr>
        <w:pStyle w:val="Compact"/>
        <w:numPr>
          <w:ilvl w:val="0"/>
          <w:numId w:val="1025"/>
        </w:numPr>
      </w:pPr>
      <w:r>
        <w:t xml:space="preserve">delete or return Customer Personal Data at the end of the relationship as agreed</w:t>
      </w:r>
    </w:p>
    <w:p>
      <w:pPr>
        <w:pStyle w:val="Compact"/>
        <w:numPr>
          <w:ilvl w:val="0"/>
          <w:numId w:val="1025"/>
        </w:numPr>
      </w:pPr>
      <w:r>
        <w:t xml:space="preserve">make reasonable information available to demonstrate compliance with this DPA</w:t>
      </w:r>
    </w:p>
    <w:bookmarkEnd w:id="114"/>
    <w:bookmarkStart w:id="115" w:name="confidentiality-1"/>
    <w:p>
      <w:pPr>
        <w:pStyle w:val="Heading2"/>
      </w:pPr>
      <w:r>
        <w:t xml:space="preserve">7. Confidentiality</w:t>
      </w:r>
    </w:p>
    <w:p>
      <w:pPr>
        <w:pStyle w:val="FirstParagraph"/>
      </w:pPr>
      <w:r>
        <w:t xml:space="preserve">Nineteen Point Two will ensure that people authorised to process Customer Personal Data are subject to appropriate confidentiality obligations.</w:t>
      </w:r>
    </w:p>
    <w:bookmarkEnd w:id="115"/>
    <w:bookmarkStart w:id="116" w:name="security-measures"/>
    <w:p>
      <w:pPr>
        <w:pStyle w:val="Heading2"/>
      </w:pPr>
      <w:r>
        <w:t xml:space="preserve">8. Security measures</w:t>
      </w:r>
    </w:p>
    <w:p>
      <w:pPr>
        <w:pStyle w:val="FirstParagraph"/>
      </w:pPr>
      <w:r>
        <w:t xml:space="preserve">Nineteen Point Two will maintain reasonable technical and organisational measures appropriate to the nature of the processing and the risk to individuals.</w:t>
      </w:r>
    </w:p>
    <w:p>
      <w:pPr>
        <w:pStyle w:val="BodyText"/>
      </w:pPr>
      <w:r>
        <w:t xml:space="preserve">These may include:</w:t>
      </w:r>
    </w:p>
    <w:p>
      <w:pPr>
        <w:pStyle w:val="Compact"/>
        <w:numPr>
          <w:ilvl w:val="0"/>
          <w:numId w:val="1026"/>
        </w:numPr>
      </w:pPr>
      <w:r>
        <w:t xml:space="preserve">role-based access controls</w:t>
      </w:r>
    </w:p>
    <w:p>
      <w:pPr>
        <w:pStyle w:val="Compact"/>
        <w:numPr>
          <w:ilvl w:val="0"/>
          <w:numId w:val="1026"/>
        </w:numPr>
      </w:pPr>
      <w:r>
        <w:t xml:space="preserve">authentication controls</w:t>
      </w:r>
    </w:p>
    <w:p>
      <w:pPr>
        <w:pStyle w:val="Compact"/>
        <w:numPr>
          <w:ilvl w:val="0"/>
          <w:numId w:val="1026"/>
        </w:numPr>
      </w:pPr>
      <w:r>
        <w:t xml:space="preserve">administrator permission controls</w:t>
      </w:r>
    </w:p>
    <w:p>
      <w:pPr>
        <w:pStyle w:val="Compact"/>
        <w:numPr>
          <w:ilvl w:val="0"/>
          <w:numId w:val="1026"/>
        </w:numPr>
      </w:pPr>
      <w:r>
        <w:t xml:space="preserve">supplier security controls</w:t>
      </w:r>
    </w:p>
    <w:p>
      <w:pPr>
        <w:pStyle w:val="Compact"/>
        <w:numPr>
          <w:ilvl w:val="0"/>
          <w:numId w:val="1026"/>
        </w:numPr>
      </w:pPr>
      <w:r>
        <w:t xml:space="preserve">database and infrastructure security measures provided by hosting and backend providers</w:t>
      </w:r>
    </w:p>
    <w:p>
      <w:pPr>
        <w:pStyle w:val="Compact"/>
        <w:numPr>
          <w:ilvl w:val="0"/>
          <w:numId w:val="1026"/>
        </w:numPr>
      </w:pPr>
      <w:r>
        <w:t xml:space="preserve">encryption in transit where supported by relevant infrastructure</w:t>
      </w:r>
    </w:p>
    <w:p>
      <w:pPr>
        <w:pStyle w:val="Compact"/>
        <w:numPr>
          <w:ilvl w:val="0"/>
          <w:numId w:val="1026"/>
        </w:numPr>
      </w:pPr>
      <w:r>
        <w:t xml:space="preserve">logging and monitoring</w:t>
      </w:r>
    </w:p>
    <w:p>
      <w:pPr>
        <w:pStyle w:val="Compact"/>
        <w:numPr>
          <w:ilvl w:val="0"/>
          <w:numId w:val="1026"/>
        </w:numPr>
      </w:pPr>
      <w:r>
        <w:t xml:space="preserve">secure development and deployment practices</w:t>
      </w:r>
    </w:p>
    <w:p>
      <w:pPr>
        <w:pStyle w:val="Compact"/>
        <w:numPr>
          <w:ilvl w:val="0"/>
          <w:numId w:val="1026"/>
        </w:numPr>
      </w:pPr>
      <w:r>
        <w:t xml:space="preserve">backup and recovery processes where supported by relevant providers</w:t>
      </w:r>
    </w:p>
    <w:p>
      <w:pPr>
        <w:pStyle w:val="Compact"/>
        <w:numPr>
          <w:ilvl w:val="0"/>
          <w:numId w:val="1026"/>
        </w:numPr>
      </w:pPr>
      <w:r>
        <w:t xml:space="preserve">operational access limitation</w:t>
      </w:r>
    </w:p>
    <w:p>
      <w:pPr>
        <w:pStyle w:val="Compact"/>
        <w:numPr>
          <w:ilvl w:val="0"/>
          <w:numId w:val="1026"/>
        </w:numPr>
      </w:pPr>
      <w:r>
        <w:t xml:space="preserve">incident response procedures</w:t>
      </w:r>
    </w:p>
    <w:p>
      <w:pPr>
        <w:pStyle w:val="FirstParagraph"/>
      </w:pPr>
      <w:r>
        <w:t xml:space="preserve">A more detailed security summary may be provided on request.</w:t>
      </w:r>
    </w:p>
    <w:bookmarkEnd w:id="116"/>
    <w:bookmarkStart w:id="117" w:name="subprocessors-1"/>
    <w:p>
      <w:pPr>
        <w:pStyle w:val="Heading2"/>
      </w:pPr>
      <w:r>
        <w:t xml:space="preserve">9. Subprocessors</w:t>
      </w:r>
    </w:p>
    <w:p>
      <w:pPr>
        <w:pStyle w:val="FirstParagraph"/>
      </w:pPr>
      <w:r>
        <w:t xml:space="preserve">The Customer gives Nineteen Point Two general written authorisation to appoint subprocessors to provide, host, maintain, secure, monitor and support WAIA.</w:t>
      </w:r>
    </w:p>
    <w:p>
      <w:pPr>
        <w:pStyle w:val="BodyText"/>
      </w:pPr>
      <w:r>
        <w:t xml:space="preserve">Nineteen Point Two will:</w:t>
      </w:r>
    </w:p>
    <w:p>
      <w:pPr>
        <w:pStyle w:val="Compact"/>
        <w:numPr>
          <w:ilvl w:val="0"/>
          <w:numId w:val="1027"/>
        </w:numPr>
      </w:pPr>
      <w:r>
        <w:t xml:space="preserve">maintain a subprocessor list</w:t>
      </w:r>
    </w:p>
    <w:p>
      <w:pPr>
        <w:pStyle w:val="Compact"/>
        <w:numPr>
          <w:ilvl w:val="0"/>
          <w:numId w:val="1027"/>
        </w:numPr>
      </w:pPr>
      <w:r>
        <w:t xml:space="preserve">ensure subprocessors are subject to written data protection obligations appropriate to their role</w:t>
      </w:r>
    </w:p>
    <w:p>
      <w:pPr>
        <w:pStyle w:val="Compact"/>
        <w:numPr>
          <w:ilvl w:val="0"/>
          <w:numId w:val="1027"/>
        </w:numPr>
      </w:pPr>
      <w:r>
        <w:t xml:space="preserve">remain responsible for subprocessors’ processing of Customer Personal Data, subject to the agreement</w:t>
      </w:r>
    </w:p>
    <w:p>
      <w:pPr>
        <w:pStyle w:val="Compact"/>
        <w:numPr>
          <w:ilvl w:val="0"/>
          <w:numId w:val="1027"/>
        </w:numPr>
      </w:pPr>
      <w:r>
        <w:t xml:space="preserve">notify the Customer of material changes to subprocessors through the published subprocessor list, email notice or other reasonable method</w:t>
      </w:r>
    </w:p>
    <w:p>
      <w:pPr>
        <w:pStyle w:val="FirstParagraph"/>
      </w:pPr>
      <w:r>
        <w:t xml:space="preserve">The Customer may object to a new subprocessor on reasonable data protection grounds within [10 or 30] days of notice. The parties will work in good faith to resolve the objection. If the objection cannot reasonably be resolved, the Customer may terminate the affected service.</w:t>
      </w:r>
    </w:p>
    <w:bookmarkEnd w:id="117"/>
    <w:bookmarkStart w:id="118" w:name="international-transfers-1"/>
    <w:p>
      <w:pPr>
        <w:pStyle w:val="Heading2"/>
      </w:pPr>
      <w:r>
        <w:t xml:space="preserve">10. International transfers</w:t>
      </w:r>
    </w:p>
    <w:p>
      <w:pPr>
        <w:pStyle w:val="FirstParagraph"/>
      </w:pPr>
      <w:r>
        <w:t xml:space="preserve">Nineteen Point Two and its subprocessors may process Customer Personal Data outside the UK or EEA where needed to provide WAIA.</w:t>
      </w:r>
    </w:p>
    <w:p>
      <w:pPr>
        <w:pStyle w:val="BodyText"/>
      </w:pPr>
      <w:r>
        <w:t xml:space="preserve">Where restricted transfers occur, Nineteen Point Two will use appropriate safeguards required by Data Protection Laws. These may include adequacy regulations, standard contractual clauses, the UK International Data Transfer Addendum or equivalent lawful transfer mechanisms.</w:t>
      </w:r>
    </w:p>
    <w:bookmarkEnd w:id="118"/>
    <w:bookmarkStart w:id="119" w:name="data-subject-requests"/>
    <w:p>
      <w:pPr>
        <w:pStyle w:val="Heading2"/>
      </w:pPr>
      <w:r>
        <w:t xml:space="preserve">11. Data subject requests</w:t>
      </w:r>
    </w:p>
    <w:p>
      <w:pPr>
        <w:pStyle w:val="FirstParagraph"/>
      </w:pPr>
      <w:r>
        <w:t xml:space="preserve">If Nineteen Point Two receives a request from a data subject relating to Customer Personal Data, it will either:</w:t>
      </w:r>
    </w:p>
    <w:p>
      <w:pPr>
        <w:pStyle w:val="Compact"/>
        <w:numPr>
          <w:ilvl w:val="0"/>
          <w:numId w:val="1028"/>
        </w:numPr>
      </w:pPr>
      <w:r>
        <w:t xml:space="preserve">refer the request to the Customer, where appropriate</w:t>
      </w:r>
    </w:p>
    <w:p>
      <w:pPr>
        <w:pStyle w:val="Compact"/>
        <w:numPr>
          <w:ilvl w:val="0"/>
          <w:numId w:val="1028"/>
        </w:numPr>
      </w:pPr>
      <w:r>
        <w:t xml:space="preserve">notify the Customer, where lawful and practical</w:t>
      </w:r>
    </w:p>
    <w:p>
      <w:pPr>
        <w:pStyle w:val="Compact"/>
        <w:numPr>
          <w:ilvl w:val="0"/>
          <w:numId w:val="1028"/>
        </w:numPr>
      </w:pPr>
      <w:r>
        <w:t xml:space="preserve">assist the Customer to respond, taking into account the nature of the processing</w:t>
      </w:r>
    </w:p>
    <w:p>
      <w:pPr>
        <w:pStyle w:val="FirstParagraph"/>
      </w:pPr>
      <w:r>
        <w:t xml:space="preserve">Nineteen Point Two will not respond directly to the substance of a request unless instructed by the Customer or required by law.</w:t>
      </w:r>
    </w:p>
    <w:bookmarkEnd w:id="119"/>
    <w:bookmarkStart w:id="120" w:name="personal-data-breaches"/>
    <w:p>
      <w:pPr>
        <w:pStyle w:val="Heading2"/>
      </w:pPr>
      <w:r>
        <w:t xml:space="preserve">12. Personal data breaches</w:t>
      </w:r>
    </w:p>
    <w:p>
      <w:pPr>
        <w:pStyle w:val="FirstParagraph"/>
      </w:pPr>
      <w:r>
        <w:t xml:space="preserve">Nineteen Point Two will notify the Customer without undue delay after becoming aware of a confirmed personal data breach affecting Customer Personal Data.</w:t>
      </w:r>
    </w:p>
    <w:p>
      <w:pPr>
        <w:pStyle w:val="BodyText"/>
      </w:pPr>
      <w:r>
        <w:t xml:space="preserve">The notice will include available information reasonably required by the Customer to assess the breach, meet notification obligations and reduce harm.</w:t>
      </w:r>
    </w:p>
    <w:p>
      <w:pPr>
        <w:pStyle w:val="BodyText"/>
      </w:pPr>
      <w:r>
        <w:t xml:space="preserve">Nineteen Point Two’s notification of a breach is not an admission of fault or liability.</w:t>
      </w:r>
    </w:p>
    <w:bookmarkEnd w:id="120"/>
    <w:bookmarkStart w:id="121" w:name="assistance-with-dpias-and-compliance"/>
    <w:p>
      <w:pPr>
        <w:pStyle w:val="Heading2"/>
      </w:pPr>
      <w:r>
        <w:t xml:space="preserve">13. Assistance with DPIAs and compliance</w:t>
      </w:r>
    </w:p>
    <w:p>
      <w:pPr>
        <w:pStyle w:val="FirstParagraph"/>
      </w:pPr>
      <w:r>
        <w:t xml:space="preserve">Nineteen Point Two will provide reasonable assistance to the Customer with data protection impact assessments, prior consultation, security obligations and breach obligations where required by Data Protection Laws and where the information is available to Nineteen Point Two.</w:t>
      </w:r>
    </w:p>
    <w:p>
      <w:pPr>
        <w:pStyle w:val="BodyText"/>
      </w:pPr>
      <w:r>
        <w:t xml:space="preserve">If assistance requires substantial additional work, Nineteen Point Two may charge reasonable fees unless prohibited by law or agreed otherwise.</w:t>
      </w:r>
    </w:p>
    <w:bookmarkEnd w:id="121"/>
    <w:bookmarkStart w:id="122" w:name="return-and-deletion"/>
    <w:p>
      <w:pPr>
        <w:pStyle w:val="Heading2"/>
      </w:pPr>
      <w:r>
        <w:t xml:space="preserve">14. Return and deletion</w:t>
      </w:r>
    </w:p>
    <w:p>
      <w:pPr>
        <w:pStyle w:val="FirstParagraph"/>
      </w:pPr>
      <w:r>
        <w:t xml:space="preserve">At the end of the service, Nineteen Point Two will return, export or delete Customer Personal Data in line with the Customer’s instructions, the agreement and applicable law.</w:t>
      </w:r>
    </w:p>
    <w:p>
      <w:pPr>
        <w:pStyle w:val="BodyText"/>
      </w:pPr>
      <w:r>
        <w:t xml:space="preserve">Nineteen Point Two may retain limited copies where required for legal, accounting, security, backup, dispute resolution or legitimate business purposes, provided such data remains protected and is not actively processed for other purposes.</w:t>
      </w:r>
    </w:p>
    <w:p>
      <w:pPr>
        <w:pStyle w:val="BodyText"/>
      </w:pPr>
      <w:r>
        <w:t xml:space="preserve">Backup deletion may take place on the normal backup lifecycle of relevant infrastructure providers.</w:t>
      </w:r>
    </w:p>
    <w:bookmarkEnd w:id="122"/>
    <w:bookmarkStart w:id="123" w:name="audit-and-information-rights"/>
    <w:p>
      <w:pPr>
        <w:pStyle w:val="Heading2"/>
      </w:pPr>
      <w:r>
        <w:t xml:space="preserve">15. Audit and information rights</w:t>
      </w:r>
    </w:p>
    <w:p>
      <w:pPr>
        <w:pStyle w:val="FirstParagraph"/>
      </w:pPr>
      <w:r>
        <w:t xml:space="preserve">Nineteen Point Two will make reasonable information available to demonstrate compliance with this DPA.</w:t>
      </w:r>
    </w:p>
    <w:p>
      <w:pPr>
        <w:pStyle w:val="BodyText"/>
      </w:pPr>
      <w:r>
        <w:t xml:space="preserve">The Customer may request reasonable audit information no more than once per year unless required due to a confirmed serious security incident.</w:t>
      </w:r>
    </w:p>
    <w:p>
      <w:pPr>
        <w:pStyle w:val="BodyText"/>
      </w:pPr>
      <w:r>
        <w:t xml:space="preserve">Any audit must be conducted on reasonable notice, during normal business hours, in a way that does not compromise security, confidentiality, service availability or other customers’ data.</w:t>
      </w:r>
    </w:p>
    <w:p>
      <w:pPr>
        <w:pStyle w:val="BodyText"/>
      </w:pPr>
      <w:r>
        <w:t xml:space="preserve">Nineteen Point Two may satisfy audit requests through security summaries, policies, supplier documentation, certifications or written responses where appropriate.</w:t>
      </w:r>
    </w:p>
    <w:bookmarkEnd w:id="123"/>
    <w:bookmarkStart w:id="124" w:name="order-of-precedence"/>
    <w:p>
      <w:pPr>
        <w:pStyle w:val="Heading2"/>
      </w:pPr>
      <w:r>
        <w:t xml:space="preserve">16. Order of precedence</w:t>
      </w:r>
    </w:p>
    <w:p>
      <w:pPr>
        <w:pStyle w:val="FirstParagraph"/>
      </w:pPr>
      <w:r>
        <w:t xml:space="preserve">If there is a conflict between this DPA and the WAIA Terms of Service in relation to processing Customer Personal Data, this DPA takes priority.</w:t>
      </w:r>
    </w:p>
    <w:p>
      <w:r>
        <w:pict>
          <v:rect style="width:0;height:1.5pt" o:hralign="center" o:hrstd="t" o:hr="t"/>
        </w:pict>
      </w:r>
    </w:p>
    <w:bookmarkEnd w:id="124"/>
    <w:bookmarkStart w:id="134" w:name="schedule-1-processing-details"/>
    <w:p>
      <w:pPr>
        <w:pStyle w:val="Heading2"/>
      </w:pPr>
      <w:r>
        <w:t xml:space="preserve">Schedule 1: Processing Details</w:t>
      </w:r>
    </w:p>
    <w:bookmarkStart w:id="125" w:name="subject-matter"/>
    <w:p>
      <w:pPr>
        <w:pStyle w:val="Heading3"/>
      </w:pPr>
      <w:r>
        <w:t xml:space="preserve">Subject matter</w:t>
      </w:r>
    </w:p>
    <w:p>
      <w:pPr>
        <w:pStyle w:val="FirstParagraph"/>
      </w:pPr>
      <w:r>
        <w:t xml:space="preserve">Provision of WAIA, including workplace AI learning, learner access, progress records, guidance acknowledgement, administrator reporting and customer support.</w:t>
      </w:r>
    </w:p>
    <w:bookmarkEnd w:id="125"/>
    <w:bookmarkStart w:id="126" w:name="duration"/>
    <w:p>
      <w:pPr>
        <w:pStyle w:val="Heading3"/>
      </w:pPr>
      <w:r>
        <w:t xml:space="preserve">Duration</w:t>
      </w:r>
    </w:p>
    <w:p>
      <w:pPr>
        <w:pStyle w:val="FirstParagraph"/>
      </w:pPr>
      <w:r>
        <w:t xml:space="preserve">For the term of the customer agreement and any agreed retention, export, deletion, backup or legal retention period.</w:t>
      </w:r>
    </w:p>
    <w:bookmarkEnd w:id="126"/>
    <w:bookmarkStart w:id="127" w:name="nature-of-processing"/>
    <w:p>
      <w:pPr>
        <w:pStyle w:val="Heading3"/>
      </w:pPr>
      <w:r>
        <w:t xml:space="preserve">Nature of processing</w:t>
      </w:r>
    </w:p>
    <w:p>
      <w:pPr>
        <w:pStyle w:val="FirstParagraph"/>
      </w:pPr>
      <w:r>
        <w:t xml:space="preserve">Collection, recording, storage, hosting, organisation, structuring, retrieval, display, transmission, analysis, reporting, support, deletion and related processing required to provide WAIA.</w:t>
      </w:r>
    </w:p>
    <w:bookmarkEnd w:id="127"/>
    <w:bookmarkStart w:id="128" w:name="purpose-of-processing"/>
    <w:p>
      <w:pPr>
        <w:pStyle w:val="Heading3"/>
      </w:pPr>
      <w:r>
        <w:t xml:space="preserve">Purpose of processing</w:t>
      </w:r>
    </w:p>
    <w:p>
      <w:pPr>
        <w:pStyle w:val="FirstParagraph"/>
      </w:pPr>
      <w:r>
        <w:t xml:space="preserve">To provide WAIA to the Customer, including:</w:t>
      </w:r>
    </w:p>
    <w:p>
      <w:pPr>
        <w:pStyle w:val="Compact"/>
        <w:numPr>
          <w:ilvl w:val="0"/>
          <w:numId w:val="1029"/>
        </w:numPr>
      </w:pPr>
      <w:r>
        <w:t xml:space="preserve">user authentication</w:t>
      </w:r>
    </w:p>
    <w:p>
      <w:pPr>
        <w:pStyle w:val="Compact"/>
        <w:numPr>
          <w:ilvl w:val="0"/>
          <w:numId w:val="1029"/>
        </w:numPr>
      </w:pPr>
      <w:r>
        <w:t xml:space="preserve">learner invitation and access</w:t>
      </w:r>
    </w:p>
    <w:p>
      <w:pPr>
        <w:pStyle w:val="Compact"/>
        <w:numPr>
          <w:ilvl w:val="0"/>
          <w:numId w:val="1029"/>
        </w:numPr>
      </w:pPr>
      <w:r>
        <w:t xml:space="preserve">course assignment</w:t>
      </w:r>
    </w:p>
    <w:p>
      <w:pPr>
        <w:pStyle w:val="Compact"/>
        <w:numPr>
          <w:ilvl w:val="0"/>
          <w:numId w:val="1029"/>
        </w:numPr>
      </w:pPr>
      <w:r>
        <w:t xml:space="preserve">learning delivery</w:t>
      </w:r>
    </w:p>
    <w:p>
      <w:pPr>
        <w:pStyle w:val="Compact"/>
        <w:numPr>
          <w:ilvl w:val="0"/>
          <w:numId w:val="1029"/>
        </w:numPr>
      </w:pPr>
      <w:r>
        <w:t xml:space="preserve">progress tracking</w:t>
      </w:r>
    </w:p>
    <w:p>
      <w:pPr>
        <w:pStyle w:val="Compact"/>
        <w:numPr>
          <w:ilvl w:val="0"/>
          <w:numId w:val="1029"/>
        </w:numPr>
      </w:pPr>
      <w:r>
        <w:t xml:space="preserve">knowledge check or assessment capture</w:t>
      </w:r>
    </w:p>
    <w:p>
      <w:pPr>
        <w:pStyle w:val="Compact"/>
        <w:numPr>
          <w:ilvl w:val="0"/>
          <w:numId w:val="1029"/>
        </w:numPr>
      </w:pPr>
      <w:r>
        <w:t xml:space="preserve">guidance acknowledgement</w:t>
      </w:r>
    </w:p>
    <w:p>
      <w:pPr>
        <w:pStyle w:val="Compact"/>
        <w:numPr>
          <w:ilvl w:val="0"/>
          <w:numId w:val="1029"/>
        </w:numPr>
      </w:pPr>
      <w:r>
        <w:t xml:space="preserve">certificate or completion evidence</w:t>
      </w:r>
    </w:p>
    <w:p>
      <w:pPr>
        <w:pStyle w:val="Compact"/>
        <w:numPr>
          <w:ilvl w:val="0"/>
          <w:numId w:val="1029"/>
        </w:numPr>
      </w:pPr>
      <w:r>
        <w:t xml:space="preserve">organisation administration</w:t>
      </w:r>
    </w:p>
    <w:p>
      <w:pPr>
        <w:pStyle w:val="Compact"/>
        <w:numPr>
          <w:ilvl w:val="0"/>
          <w:numId w:val="1029"/>
        </w:numPr>
      </w:pPr>
      <w:r>
        <w:t xml:space="preserve">support</w:t>
      </w:r>
    </w:p>
    <w:p>
      <w:pPr>
        <w:pStyle w:val="Compact"/>
        <w:numPr>
          <w:ilvl w:val="0"/>
          <w:numId w:val="1029"/>
        </w:numPr>
      </w:pPr>
      <w:r>
        <w:t xml:space="preserve">security</w:t>
      </w:r>
    </w:p>
    <w:p>
      <w:pPr>
        <w:pStyle w:val="Compact"/>
        <w:numPr>
          <w:ilvl w:val="0"/>
          <w:numId w:val="1029"/>
        </w:numPr>
      </w:pPr>
      <w:r>
        <w:t xml:space="preserve">troubleshooting</w:t>
      </w:r>
    </w:p>
    <w:p>
      <w:pPr>
        <w:pStyle w:val="Compact"/>
        <w:numPr>
          <w:ilvl w:val="0"/>
          <w:numId w:val="1029"/>
        </w:numPr>
      </w:pPr>
      <w:r>
        <w:t xml:space="preserve">service operation</w:t>
      </w:r>
    </w:p>
    <w:bookmarkEnd w:id="128"/>
    <w:bookmarkStart w:id="129" w:name="categories-of-data-subjects"/>
    <w:p>
      <w:pPr>
        <w:pStyle w:val="Heading3"/>
      </w:pPr>
      <w:r>
        <w:t xml:space="preserve">Categories of data subjects</w:t>
      </w:r>
    </w:p>
    <w:p>
      <w:pPr>
        <w:pStyle w:val="Compact"/>
        <w:numPr>
          <w:ilvl w:val="0"/>
          <w:numId w:val="1030"/>
        </w:numPr>
      </w:pPr>
      <w:r>
        <w:t xml:space="preserve">Customer employees</w:t>
      </w:r>
    </w:p>
    <w:p>
      <w:pPr>
        <w:pStyle w:val="Compact"/>
        <w:numPr>
          <w:ilvl w:val="0"/>
          <w:numId w:val="1030"/>
        </w:numPr>
      </w:pPr>
      <w:r>
        <w:t xml:space="preserve">Customer workers</w:t>
      </w:r>
    </w:p>
    <w:p>
      <w:pPr>
        <w:pStyle w:val="Compact"/>
        <w:numPr>
          <w:ilvl w:val="0"/>
          <w:numId w:val="1030"/>
        </w:numPr>
      </w:pPr>
      <w:r>
        <w:t xml:space="preserve">Customer contractors</w:t>
      </w:r>
    </w:p>
    <w:p>
      <w:pPr>
        <w:pStyle w:val="Compact"/>
        <w:numPr>
          <w:ilvl w:val="0"/>
          <w:numId w:val="1030"/>
        </w:numPr>
      </w:pPr>
      <w:r>
        <w:t xml:space="preserve">Customer administrators</w:t>
      </w:r>
    </w:p>
    <w:p>
      <w:pPr>
        <w:pStyle w:val="Compact"/>
        <w:numPr>
          <w:ilvl w:val="0"/>
          <w:numId w:val="1030"/>
        </w:numPr>
      </w:pPr>
      <w:r>
        <w:t xml:space="preserve">Customer invited learners</w:t>
      </w:r>
    </w:p>
    <w:p>
      <w:pPr>
        <w:pStyle w:val="Compact"/>
        <w:numPr>
          <w:ilvl w:val="0"/>
          <w:numId w:val="1030"/>
        </w:numPr>
      </w:pPr>
      <w:r>
        <w:t xml:space="preserve">Customer contacts</w:t>
      </w:r>
    </w:p>
    <w:p>
      <w:pPr>
        <w:pStyle w:val="Compact"/>
        <w:numPr>
          <w:ilvl w:val="0"/>
          <w:numId w:val="1030"/>
        </w:numPr>
      </w:pPr>
      <w:r>
        <w:t xml:space="preserve">Support users</w:t>
      </w:r>
    </w:p>
    <w:bookmarkEnd w:id="129"/>
    <w:bookmarkStart w:id="130" w:name="categories-of-personal-data"/>
    <w:p>
      <w:pPr>
        <w:pStyle w:val="Heading3"/>
      </w:pPr>
      <w:r>
        <w:t xml:space="preserve">Categories of personal data</w:t>
      </w:r>
    </w:p>
    <w:p>
      <w:pPr>
        <w:pStyle w:val="Compact"/>
        <w:numPr>
          <w:ilvl w:val="0"/>
          <w:numId w:val="1031"/>
        </w:numPr>
      </w:pPr>
      <w:r>
        <w:t xml:space="preserve">name</w:t>
      </w:r>
    </w:p>
    <w:p>
      <w:pPr>
        <w:pStyle w:val="Compact"/>
        <w:numPr>
          <w:ilvl w:val="0"/>
          <w:numId w:val="1031"/>
        </w:numPr>
      </w:pPr>
      <w:r>
        <w:t xml:space="preserve">work email address</w:t>
      </w:r>
    </w:p>
    <w:p>
      <w:pPr>
        <w:pStyle w:val="Compact"/>
        <w:numPr>
          <w:ilvl w:val="0"/>
          <w:numId w:val="1031"/>
        </w:numPr>
      </w:pPr>
      <w:r>
        <w:t xml:space="preserve">organisation</w:t>
      </w:r>
    </w:p>
    <w:p>
      <w:pPr>
        <w:pStyle w:val="Compact"/>
        <w:numPr>
          <w:ilvl w:val="0"/>
          <w:numId w:val="1031"/>
        </w:numPr>
      </w:pPr>
      <w:r>
        <w:t xml:space="preserve">job role or access role, where provided</w:t>
      </w:r>
    </w:p>
    <w:p>
      <w:pPr>
        <w:pStyle w:val="Compact"/>
        <w:numPr>
          <w:ilvl w:val="0"/>
          <w:numId w:val="1031"/>
        </w:numPr>
      </w:pPr>
      <w:r>
        <w:t xml:space="preserve">user ID</w:t>
      </w:r>
    </w:p>
    <w:p>
      <w:pPr>
        <w:pStyle w:val="Compact"/>
        <w:numPr>
          <w:ilvl w:val="0"/>
          <w:numId w:val="1031"/>
        </w:numPr>
      </w:pPr>
      <w:r>
        <w:t xml:space="preserve">account status</w:t>
      </w:r>
    </w:p>
    <w:p>
      <w:pPr>
        <w:pStyle w:val="Compact"/>
        <w:numPr>
          <w:ilvl w:val="0"/>
          <w:numId w:val="1031"/>
        </w:numPr>
      </w:pPr>
      <w:r>
        <w:t xml:space="preserve">invitation status</w:t>
      </w:r>
    </w:p>
    <w:p>
      <w:pPr>
        <w:pStyle w:val="Compact"/>
        <w:numPr>
          <w:ilvl w:val="0"/>
          <w:numId w:val="1031"/>
        </w:numPr>
      </w:pPr>
      <w:r>
        <w:t xml:space="preserve">course assignment</w:t>
      </w:r>
    </w:p>
    <w:p>
      <w:pPr>
        <w:pStyle w:val="Compact"/>
        <w:numPr>
          <w:ilvl w:val="0"/>
          <w:numId w:val="1031"/>
        </w:numPr>
      </w:pPr>
      <w:r>
        <w:t xml:space="preserve">learning progress</w:t>
      </w:r>
    </w:p>
    <w:p>
      <w:pPr>
        <w:pStyle w:val="Compact"/>
        <w:numPr>
          <w:ilvl w:val="0"/>
          <w:numId w:val="1031"/>
        </w:numPr>
      </w:pPr>
      <w:r>
        <w:t xml:space="preserve">lesson completion data</w:t>
      </w:r>
    </w:p>
    <w:p>
      <w:pPr>
        <w:pStyle w:val="Compact"/>
        <w:numPr>
          <w:ilvl w:val="0"/>
          <w:numId w:val="1031"/>
        </w:numPr>
      </w:pPr>
      <w:r>
        <w:t xml:space="preserve">knowledge check or assessment responses</w:t>
      </w:r>
    </w:p>
    <w:p>
      <w:pPr>
        <w:pStyle w:val="Compact"/>
        <w:numPr>
          <w:ilvl w:val="0"/>
          <w:numId w:val="1031"/>
        </w:numPr>
      </w:pPr>
      <w:r>
        <w:t xml:space="preserve">guidance acknowledgement records</w:t>
      </w:r>
    </w:p>
    <w:p>
      <w:pPr>
        <w:pStyle w:val="Compact"/>
        <w:numPr>
          <w:ilvl w:val="0"/>
          <w:numId w:val="1031"/>
        </w:numPr>
      </w:pPr>
      <w:r>
        <w:t xml:space="preserve">certificate or completion status</w:t>
      </w:r>
    </w:p>
    <w:p>
      <w:pPr>
        <w:pStyle w:val="Compact"/>
        <w:numPr>
          <w:ilvl w:val="0"/>
          <w:numId w:val="1031"/>
        </w:numPr>
      </w:pPr>
      <w:r>
        <w:t xml:space="preserve">administrator actions</w:t>
      </w:r>
    </w:p>
    <w:p>
      <w:pPr>
        <w:pStyle w:val="Compact"/>
        <w:numPr>
          <w:ilvl w:val="0"/>
          <w:numId w:val="1031"/>
        </w:numPr>
      </w:pPr>
      <w:r>
        <w:t xml:space="preserve">support messages</w:t>
      </w:r>
    </w:p>
    <w:p>
      <w:pPr>
        <w:pStyle w:val="Compact"/>
        <w:numPr>
          <w:ilvl w:val="0"/>
          <w:numId w:val="1031"/>
        </w:numPr>
      </w:pPr>
      <w:r>
        <w:t xml:space="preserve">technical logs</w:t>
      </w:r>
    </w:p>
    <w:p>
      <w:pPr>
        <w:pStyle w:val="Compact"/>
        <w:numPr>
          <w:ilvl w:val="0"/>
          <w:numId w:val="1031"/>
        </w:numPr>
      </w:pPr>
      <w:r>
        <w:t xml:space="preserve">IP address and device information where captured for security or service operation</w:t>
      </w:r>
    </w:p>
    <w:bookmarkEnd w:id="130"/>
    <w:bookmarkStart w:id="131" w:name="special-category-data"/>
    <w:p>
      <w:pPr>
        <w:pStyle w:val="Heading3"/>
      </w:pPr>
      <w:r>
        <w:t xml:space="preserve">Special category data</w:t>
      </w:r>
    </w:p>
    <w:p>
      <w:pPr>
        <w:pStyle w:val="FirstParagraph"/>
      </w:pPr>
      <w:r>
        <w:t xml:space="preserve">WAIA is not intended to process special category data. Customers must not upload special category data unless expressly agreed in writing.</w:t>
      </w:r>
    </w:p>
    <w:bookmarkEnd w:id="131"/>
    <w:bookmarkStart w:id="132" w:name="processing-frequency"/>
    <w:p>
      <w:pPr>
        <w:pStyle w:val="Heading3"/>
      </w:pPr>
      <w:r>
        <w:t xml:space="preserve">Processing frequency</w:t>
      </w:r>
    </w:p>
    <w:p>
      <w:pPr>
        <w:pStyle w:val="FirstParagraph"/>
      </w:pPr>
      <w:r>
        <w:t xml:space="preserve">Continuous during the term of the service.</w:t>
      </w:r>
    </w:p>
    <w:bookmarkEnd w:id="132"/>
    <w:bookmarkStart w:id="133" w:name="subprocessors-2"/>
    <w:p>
      <w:pPr>
        <w:pStyle w:val="Heading3"/>
      </w:pPr>
      <w:r>
        <w:t xml:space="preserve">Subprocessors</w:t>
      </w:r>
    </w:p>
    <w:p>
      <w:pPr>
        <w:pStyle w:val="FirstParagraph"/>
      </w:pPr>
      <w:r>
        <w:t xml:space="preserve">Current subprocessors are listed at</w:t>
      </w:r>
      <w:r>
        <w:t xml:space="preserve"> </w:t>
      </w:r>
      <w:r>
        <w:rPr>
          <w:rStyle w:val="VerbatimChar"/>
        </w:rPr>
        <w:t xml:space="preserve">/subprocessors/</w:t>
      </w:r>
      <w:r>
        <w:t xml:space="preserve">.</w:t>
      </w:r>
    </w:p>
    <w:p>
      <w:r>
        <w:pict>
          <v:rect style="width:0;height:1.5pt" o:hralign="center" o:hrstd="t" o:hr="t"/>
        </w:pict>
      </w:r>
    </w:p>
    <w:bookmarkEnd w:id="133"/>
    <w:bookmarkEnd w:id="134"/>
    <w:bookmarkEnd w:id="135"/>
    <w:bookmarkStart w:id="141" w:name="subprocessor-list-1"/>
    <w:p>
      <w:pPr>
        <w:pStyle w:val="Heading1"/>
      </w:pPr>
      <w:r>
        <w:t xml:space="preserve">7. Subprocessor List</w:t>
      </w:r>
    </w:p>
    <w:p>
      <w:pPr>
        <w:pStyle w:val="FirstParagraph"/>
      </w:pPr>
      <w:r>
        <w:rPr>
          <w:b/>
          <w:bCs/>
        </w:rPr>
        <w:t xml:space="preserve">Suggested route:</w:t>
      </w:r>
      <w:r>
        <w:t xml:space="preserve"> </w:t>
      </w:r>
      <w:r>
        <w:rPr>
          <w:rStyle w:val="VerbatimChar"/>
        </w:rPr>
        <w:t xml:space="preserve">/subprocessors/</w:t>
      </w:r>
    </w:p>
    <w:bookmarkStart w:id="136" w:name="waia-subprocessor-list"/>
    <w:p>
      <w:pPr>
        <w:pStyle w:val="Heading2"/>
      </w:pPr>
      <w:r>
        <w:t xml:space="preserve">WAIA Subprocessor List</w:t>
      </w:r>
    </w:p>
    <w:p>
      <w:pPr>
        <w:pStyle w:val="FirstParagraph"/>
      </w:pPr>
      <w:r>
        <w:t xml:space="preserve">Nineteen Point Two uses selected third-party providers to provide, host, secure, support and operate WAIA.</w:t>
      </w:r>
    </w:p>
    <w:p>
      <w:pPr>
        <w:pStyle w:val="BodyText"/>
      </w:pPr>
      <w:r>
        <w:t xml:space="preserve">Where these providers process Customer Personal Data on behalf of Nineteen Point Two, they are treated as subprocessors.</w:t>
      </w:r>
    </w:p>
    <w:p>
      <w:pPr>
        <w:pStyle w:val="BodyText"/>
      </w:pPr>
      <w:r>
        <w:t xml:space="preserve">This list should be reviewed and kept current as the technical setup changes.</w:t>
      </w:r>
    </w:p>
    <w:bookmarkEnd w:id="136"/>
    <w:bookmarkStart w:id="137" w:name="current-confirmed-supplier-posture"/>
    <w:p>
      <w:pPr>
        <w:pStyle w:val="Heading2"/>
      </w:pPr>
      <w:r>
        <w:t xml:space="preserve">Current confirmed supplier posture</w:t>
      </w:r>
    </w:p>
    <w:p>
      <w:pPr>
        <w:pStyle w:val="Compact"/>
        <w:numPr>
          <w:ilvl w:val="0"/>
          <w:numId w:val="1032"/>
        </w:numPr>
      </w:pPr>
      <w:r>
        <w:t xml:space="preserve">Lovable should be treated as an active WAIA subprocessor while WAIA is hosted and operated through Lovable Cloud or related Lovable services.</w:t>
      </w:r>
    </w:p>
    <w:p>
      <w:pPr>
        <w:pStyle w:val="Compact"/>
        <w:numPr>
          <w:ilvl w:val="0"/>
          <w:numId w:val="1032"/>
        </w:numPr>
      </w:pPr>
      <w:r>
        <w:t xml:space="preserve">Lovable’s published terms describe Lovable Cloud as a managed hosting and back-end environment that may include database hosting, authentication, file/object storage and API endpoints, provisioned on third-party infrastructure currently identified as Supabase.</w:t>
      </w:r>
    </w:p>
    <w:p>
      <w:pPr>
        <w:pStyle w:val="Compact"/>
        <w:numPr>
          <w:ilvl w:val="0"/>
          <w:numId w:val="1032"/>
        </w:numPr>
      </w:pPr>
      <w:r>
        <w:t xml:space="preserve">Supabase should be treated as a core infrastructure subprocessor in the WAIA chain because WAIA uses Supabase-backed authentication, database-backed tenancy, learner records, progress, certificates, organisation guidance and acknowledgements.</w:t>
      </w:r>
    </w:p>
    <w:p>
      <w:pPr>
        <w:pStyle w:val="Compact"/>
        <w:numPr>
          <w:ilvl w:val="0"/>
          <w:numId w:val="1032"/>
        </w:numPr>
      </w:pPr>
      <w:r>
        <w:t xml:space="preserve">Where Supabase is provided through Lovable Cloud, Supabase can be described as part of Lovable’s underlying infrastructure/subprocessor chain. If Nineteen Point Two later controls a standalone Supabase project directly, Supabase should also be listed as Nineteen Point Two’s direct subprocessor.</w:t>
      </w:r>
    </w:p>
    <w:p>
      <w:pPr>
        <w:pStyle w:val="Compact"/>
        <w:numPr>
          <w:ilvl w:val="0"/>
          <w:numId w:val="1032"/>
        </w:numPr>
      </w:pPr>
      <w:r>
        <w:t xml:space="preserve">Lovable and/or Supabase should be treated as the current transactional email route for WAIA account and invite emails, based on the current operational understanding.</w:t>
      </w:r>
    </w:p>
    <w:p>
      <w:pPr>
        <w:pStyle w:val="Compact"/>
        <w:numPr>
          <w:ilvl w:val="0"/>
          <w:numId w:val="1032"/>
        </w:numPr>
      </w:pPr>
      <w:r>
        <w:t xml:space="preserve">Microsoft 365 and Google Workspace should be treated as business operations suppliers for correspondence, documents and administration.</w:t>
      </w:r>
    </w:p>
    <w:p>
      <w:pPr>
        <w:pStyle w:val="Compact"/>
        <w:numPr>
          <w:ilvl w:val="0"/>
          <w:numId w:val="1032"/>
        </w:numPr>
      </w:pPr>
      <w:r>
        <w:t xml:space="preserve">Google Search Console is currently used for website search visibility/performance only. No Google Analytics, advertising pixel or behavioural analytics tool is currently known to be active.</w:t>
      </w:r>
    </w:p>
    <w:p>
      <w:pPr>
        <w:pStyle w:val="Compact"/>
        <w:numPr>
          <w:ilvl w:val="0"/>
          <w:numId w:val="1032"/>
        </w:numPr>
      </w:pPr>
      <w:r>
        <w:t xml:space="preserve">OpenAI, Anthropic, Gemini or similar AI model providers are not active WAIA runtime subprocessors based on current evidence and should not receive learner personal data unless a future feature is documented and approved.</w:t>
      </w:r>
    </w:p>
    <w:p>
      <w:pPr>
        <w:pStyle w:val="Compact"/>
        <w:numPr>
          <w:ilvl w:val="0"/>
          <w:numId w:val="1032"/>
        </w:numPr>
      </w:pPr>
      <w:r>
        <w:t xml:space="preserve">Cloudflare remains to be confirmed because Cloudflare/Wrangler tooling exists, but the live routing/security/hosting role has not been finally confirmed. Do not list Cloudflare as active unless live WAIA traffic, routing, security or hosting is confirmed to pass through Cloudflare.</w:t>
      </w:r>
    </w:p>
    <w:bookmarkEnd w:id="137"/>
    <w:bookmarkStart w:id="138" w:name="Xec362c284faa10a606862cd6b22076f5e828003"/>
    <w:p>
      <w:pPr>
        <w:pStyle w:val="Heading2"/>
      </w:pPr>
      <w:r>
        <w:t xml:space="preserve">Providers not intended to receive learner personal data</w:t>
      </w:r>
    </w:p>
    <w:p>
      <w:pPr>
        <w:pStyle w:val="FirstParagraph"/>
      </w:pPr>
      <w:r>
        <w:t xml:space="preserve">Some tools may be used for internal content creation, code generation, planning or marketing without intentionally receiving Customer Personal Data.</w:t>
      </w:r>
    </w:p>
    <w:p>
      <w:pPr>
        <w:pStyle w:val="BodyText"/>
      </w:pPr>
      <w:r>
        <w:t xml:space="preserve">Customer Personal Data should not be entered into these tools unless:</w:t>
      </w:r>
    </w:p>
    <w:p>
      <w:pPr>
        <w:pStyle w:val="Compact"/>
        <w:numPr>
          <w:ilvl w:val="0"/>
          <w:numId w:val="1033"/>
        </w:numPr>
      </w:pPr>
      <w:r>
        <w:t xml:space="preserve">the tool is listed as an active subprocessor where required</w:t>
      </w:r>
    </w:p>
    <w:p>
      <w:pPr>
        <w:pStyle w:val="Compact"/>
        <w:numPr>
          <w:ilvl w:val="0"/>
          <w:numId w:val="1033"/>
        </w:numPr>
      </w:pPr>
      <w:r>
        <w:t xml:space="preserve">a data processing agreement is in place</w:t>
      </w:r>
    </w:p>
    <w:p>
      <w:pPr>
        <w:pStyle w:val="Compact"/>
        <w:numPr>
          <w:ilvl w:val="0"/>
          <w:numId w:val="1033"/>
        </w:numPr>
      </w:pPr>
      <w:r>
        <w:t xml:space="preserve">the processing purpose is documented</w:t>
      </w:r>
    </w:p>
    <w:p>
      <w:pPr>
        <w:pStyle w:val="Compact"/>
        <w:numPr>
          <w:ilvl w:val="0"/>
          <w:numId w:val="1033"/>
        </w:numPr>
      </w:pPr>
      <w:r>
        <w:t xml:space="preserve">the customer has been informed where required</w:t>
      </w:r>
    </w:p>
    <w:p>
      <w:pPr>
        <w:pStyle w:val="Compact"/>
        <w:numPr>
          <w:ilvl w:val="0"/>
          <w:numId w:val="1033"/>
        </w:numPr>
      </w:pPr>
      <w:r>
        <w:t xml:space="preserve">the feature or workflow has been approved internally</w:t>
      </w:r>
    </w:p>
    <w:bookmarkEnd w:id="138"/>
    <w:bookmarkStart w:id="139" w:name="subprocessor-updates"/>
    <w:p>
      <w:pPr>
        <w:pStyle w:val="Heading2"/>
      </w:pPr>
      <w:r>
        <w:t xml:space="preserve">Subprocessor updates</w:t>
      </w:r>
    </w:p>
    <w:p>
      <w:pPr>
        <w:pStyle w:val="FirstParagraph"/>
      </w:pPr>
      <w:r>
        <w:t xml:space="preserve">Nineteen Point Two may update this list as providers are added, removed or replaced.</w:t>
      </w:r>
    </w:p>
    <w:p>
      <w:pPr>
        <w:pStyle w:val="BodyText"/>
      </w:pPr>
      <w:r>
        <w:t xml:space="preserve">Where required by the Data Processing Agreement, customers will be given notice of material subprocessor changes and the opportunity to object on reasonable data protection grounds.</w:t>
      </w:r>
    </w:p>
    <w:bookmarkEnd w:id="139"/>
    <w:bookmarkStart w:id="140" w:name="contact-5"/>
    <w:p>
      <w:pPr>
        <w:pStyle w:val="Heading2"/>
      </w:pPr>
      <w:r>
        <w:t xml:space="preserve">Contact</w:t>
      </w:r>
    </w:p>
    <w:p>
      <w:pPr>
        <w:pStyle w:val="FirstParagraph"/>
      </w:pPr>
      <w:r>
        <w:t xml:space="preserve">For subprocessor questions, contact</w:t>
      </w:r>
      <w:r>
        <w:t xml:space="preserve"> </w:t>
      </w:r>
      <w:r>
        <w:rPr>
          <w:b/>
          <w:bCs/>
        </w:rPr>
        <w:t xml:space="preserve">ben@nineteenpointtwo.com</w:t>
      </w:r>
      <w:r>
        <w:t xml:space="preserve">.</w:t>
      </w:r>
    </w:p>
    <w:p>
      <w:r>
        <w:pict>
          <v:rect style="width:0;height:1.5pt" o:hralign="center" o:hrstd="t" o:hr="t"/>
        </w:pict>
      </w:r>
    </w:p>
    <w:bookmarkEnd w:id="140"/>
    <w:bookmarkEnd w:id="141"/>
    <w:bookmarkStart w:id="152" w:name="waia-product-and-ai-use-statement-1"/>
    <w:p>
      <w:pPr>
        <w:pStyle w:val="Heading1"/>
      </w:pPr>
      <w:r>
        <w:t xml:space="preserve">8. WAIA Product and AI Use Statement</w:t>
      </w:r>
    </w:p>
    <w:p>
      <w:pPr>
        <w:pStyle w:val="FirstParagraph"/>
      </w:pPr>
      <w:r>
        <w:rPr>
          <w:b/>
          <w:bCs/>
        </w:rPr>
        <w:t xml:space="preserve">Suggested route:</w:t>
      </w:r>
      <w:r>
        <w:t xml:space="preserve"> </w:t>
      </w:r>
      <w:r>
        <w:rPr>
          <w:rStyle w:val="VerbatimChar"/>
        </w:rPr>
        <w:t xml:space="preserve">/waia-ai-use-statement/</w:t>
      </w:r>
    </w:p>
    <w:bookmarkStart w:id="142" w:name="waia-product-and-ai-use-statement-2"/>
    <w:p>
      <w:pPr>
        <w:pStyle w:val="Heading2"/>
      </w:pPr>
      <w:r>
        <w:t xml:space="preserve">WAIA Product and AI Use Statement</w:t>
      </w:r>
    </w:p>
    <w:p>
      <w:pPr>
        <w:pStyle w:val="FirstParagraph"/>
      </w:pPr>
      <w:r>
        <w:t xml:space="preserve">WAIA is the Workplace AI Academy from Nineteen Point Two.</w:t>
      </w:r>
    </w:p>
    <w:p>
      <w:pPr>
        <w:pStyle w:val="BodyText"/>
      </w:pPr>
      <w:r>
        <w:t xml:space="preserve">It is designed to help organisations support practical workplace AI literacy, improve consistency of AI use, communicate internal guidance, record learner acknowledgement and create better visibility of adoption activity.</w:t>
      </w:r>
    </w:p>
    <w:p>
      <w:pPr>
        <w:pStyle w:val="BodyText"/>
      </w:pPr>
      <w:r>
        <w:t xml:space="preserve">AI is not a strategy, it’s a tool.</w:t>
      </w:r>
    </w:p>
    <w:bookmarkEnd w:id="142"/>
    <w:bookmarkStart w:id="143" w:name="what-waia-does"/>
    <w:p>
      <w:pPr>
        <w:pStyle w:val="Heading2"/>
      </w:pPr>
      <w:r>
        <w:t xml:space="preserve">What WAIA does</w:t>
      </w:r>
    </w:p>
    <w:p>
      <w:pPr>
        <w:pStyle w:val="FirstParagraph"/>
      </w:pPr>
      <w:r>
        <w:t xml:space="preserve">WAIA helps organisations:</w:t>
      </w:r>
    </w:p>
    <w:p>
      <w:pPr>
        <w:pStyle w:val="Compact"/>
        <w:numPr>
          <w:ilvl w:val="0"/>
          <w:numId w:val="1034"/>
        </w:numPr>
      </w:pPr>
      <w:r>
        <w:t xml:space="preserve">provide practical AI learning to employees and managers</w:t>
      </w:r>
    </w:p>
    <w:p>
      <w:pPr>
        <w:pStyle w:val="Compact"/>
        <w:numPr>
          <w:ilvl w:val="0"/>
          <w:numId w:val="1034"/>
        </w:numPr>
      </w:pPr>
      <w:r>
        <w:t xml:space="preserve">explain safe, effective and responsible workplace AI use</w:t>
      </w:r>
    </w:p>
    <w:p>
      <w:pPr>
        <w:pStyle w:val="Compact"/>
        <w:numPr>
          <w:ilvl w:val="0"/>
          <w:numId w:val="1034"/>
        </w:numPr>
      </w:pPr>
      <w:r>
        <w:t xml:space="preserve">make organisation AI guidance visible to learners</w:t>
      </w:r>
    </w:p>
    <w:p>
      <w:pPr>
        <w:pStyle w:val="Compact"/>
        <w:numPr>
          <w:ilvl w:val="0"/>
          <w:numId w:val="1034"/>
        </w:numPr>
      </w:pPr>
      <w:r>
        <w:t xml:space="preserve">capture acknowledgement of organisation guidance</w:t>
      </w:r>
    </w:p>
    <w:p>
      <w:pPr>
        <w:pStyle w:val="Compact"/>
        <w:numPr>
          <w:ilvl w:val="0"/>
          <w:numId w:val="1034"/>
        </w:numPr>
      </w:pPr>
      <w:r>
        <w:t xml:space="preserve">track learner progress and completion</w:t>
      </w:r>
    </w:p>
    <w:p>
      <w:pPr>
        <w:pStyle w:val="Compact"/>
        <w:numPr>
          <w:ilvl w:val="0"/>
          <w:numId w:val="1034"/>
        </w:numPr>
      </w:pPr>
      <w:r>
        <w:t xml:space="preserve">support manager understanding of AI adoption in teams</w:t>
      </w:r>
    </w:p>
    <w:p>
      <w:pPr>
        <w:pStyle w:val="Compact"/>
        <w:numPr>
          <w:ilvl w:val="0"/>
          <w:numId w:val="1034"/>
        </w:numPr>
      </w:pPr>
      <w:r>
        <w:t xml:space="preserve">evidence practical AI literacy activity</w:t>
      </w:r>
    </w:p>
    <w:p>
      <w:pPr>
        <w:pStyle w:val="Compact"/>
        <w:numPr>
          <w:ilvl w:val="0"/>
          <w:numId w:val="1034"/>
        </w:numPr>
      </w:pPr>
      <w:r>
        <w:t xml:space="preserve">identify adoption gaps and support more consistent behaviour</w:t>
      </w:r>
    </w:p>
    <w:bookmarkEnd w:id="143"/>
    <w:bookmarkStart w:id="144" w:name="what-waia-does-not-do"/>
    <w:p>
      <w:pPr>
        <w:pStyle w:val="Heading2"/>
      </w:pPr>
      <w:r>
        <w:t xml:space="preserve">What WAIA does not do</w:t>
      </w:r>
    </w:p>
    <w:p>
      <w:pPr>
        <w:pStyle w:val="FirstParagraph"/>
      </w:pPr>
      <w:r>
        <w:t xml:space="preserve">WAIA does not:</w:t>
      </w:r>
    </w:p>
    <w:p>
      <w:pPr>
        <w:pStyle w:val="Compact"/>
        <w:numPr>
          <w:ilvl w:val="0"/>
          <w:numId w:val="1035"/>
        </w:numPr>
      </w:pPr>
      <w:r>
        <w:t xml:space="preserve">provide legal advice</w:t>
      </w:r>
    </w:p>
    <w:p>
      <w:pPr>
        <w:pStyle w:val="Compact"/>
        <w:numPr>
          <w:ilvl w:val="0"/>
          <w:numId w:val="1035"/>
        </w:numPr>
      </w:pPr>
      <w:r>
        <w:t xml:space="preserve">provide HR advice</w:t>
      </w:r>
    </w:p>
    <w:p>
      <w:pPr>
        <w:pStyle w:val="Compact"/>
        <w:numPr>
          <w:ilvl w:val="0"/>
          <w:numId w:val="1035"/>
        </w:numPr>
      </w:pPr>
      <w:r>
        <w:t xml:space="preserve">provide regulatory advice</w:t>
      </w:r>
    </w:p>
    <w:p>
      <w:pPr>
        <w:pStyle w:val="Compact"/>
        <w:numPr>
          <w:ilvl w:val="0"/>
          <w:numId w:val="1035"/>
        </w:numPr>
      </w:pPr>
      <w:r>
        <w:t xml:space="preserve">guarantee compliance with the UK GDPR, EU AI Act or any other law</w:t>
      </w:r>
    </w:p>
    <w:p>
      <w:pPr>
        <w:pStyle w:val="Compact"/>
        <w:numPr>
          <w:ilvl w:val="0"/>
          <w:numId w:val="1035"/>
        </w:numPr>
      </w:pPr>
      <w:r>
        <w:t xml:space="preserve">certify an organisation as compliant</w:t>
      </w:r>
    </w:p>
    <w:p>
      <w:pPr>
        <w:pStyle w:val="Compact"/>
        <w:numPr>
          <w:ilvl w:val="0"/>
          <w:numId w:val="1035"/>
        </w:numPr>
      </w:pPr>
      <w:r>
        <w:t xml:space="preserve">replace internal AI governance</w:t>
      </w:r>
    </w:p>
    <w:p>
      <w:pPr>
        <w:pStyle w:val="Compact"/>
        <w:numPr>
          <w:ilvl w:val="0"/>
          <w:numId w:val="1035"/>
        </w:numPr>
      </w:pPr>
      <w:r>
        <w:t xml:space="preserve">replace human judgement</w:t>
      </w:r>
    </w:p>
    <w:p>
      <w:pPr>
        <w:pStyle w:val="Compact"/>
        <w:numPr>
          <w:ilvl w:val="0"/>
          <w:numId w:val="1035"/>
        </w:numPr>
      </w:pPr>
      <w:r>
        <w:t xml:space="preserve">make employment decisions</w:t>
      </w:r>
    </w:p>
    <w:p>
      <w:pPr>
        <w:pStyle w:val="Compact"/>
        <w:numPr>
          <w:ilvl w:val="0"/>
          <w:numId w:val="1035"/>
        </w:numPr>
      </w:pPr>
      <w:r>
        <w:t xml:space="preserve">score employee performance</w:t>
      </w:r>
    </w:p>
    <w:p>
      <w:pPr>
        <w:pStyle w:val="Compact"/>
        <w:numPr>
          <w:ilvl w:val="0"/>
          <w:numId w:val="1035"/>
        </w:numPr>
      </w:pPr>
      <w:r>
        <w:t xml:space="preserve">monitor employee productivity</w:t>
      </w:r>
    </w:p>
    <w:p>
      <w:pPr>
        <w:pStyle w:val="Compact"/>
        <w:numPr>
          <w:ilvl w:val="0"/>
          <w:numId w:val="1035"/>
        </w:numPr>
      </w:pPr>
      <w:r>
        <w:t xml:space="preserve">make automated decisions with legal or similarly significant effects</w:t>
      </w:r>
    </w:p>
    <w:p>
      <w:pPr>
        <w:pStyle w:val="Compact"/>
        <w:numPr>
          <w:ilvl w:val="0"/>
          <w:numId w:val="1035"/>
        </w:numPr>
      </w:pPr>
      <w:r>
        <w:t xml:space="preserve">approve or reject an organisation’s AI tools</w:t>
      </w:r>
    </w:p>
    <w:p>
      <w:pPr>
        <w:pStyle w:val="Compact"/>
        <w:numPr>
          <w:ilvl w:val="0"/>
          <w:numId w:val="1035"/>
        </w:numPr>
      </w:pPr>
      <w:r>
        <w:t xml:space="preserve">remove the need for customer policies, risk assessments or management oversight</w:t>
      </w:r>
    </w:p>
    <w:bookmarkEnd w:id="144"/>
    <w:bookmarkStart w:id="145" w:name="customer-responsibility"/>
    <w:p>
      <w:pPr>
        <w:pStyle w:val="Heading2"/>
      </w:pPr>
      <w:r>
        <w:t xml:space="preserve">Customer responsibility</w:t>
      </w:r>
    </w:p>
    <w:p>
      <w:pPr>
        <w:pStyle w:val="FirstParagraph"/>
      </w:pPr>
      <w:r>
        <w:t xml:space="preserve">Customers remain responsible for:</w:t>
      </w:r>
    </w:p>
    <w:p>
      <w:pPr>
        <w:pStyle w:val="Compact"/>
        <w:numPr>
          <w:ilvl w:val="0"/>
          <w:numId w:val="1036"/>
        </w:numPr>
      </w:pPr>
      <w:r>
        <w:t xml:space="preserve">their own AI policies</w:t>
      </w:r>
    </w:p>
    <w:p>
      <w:pPr>
        <w:pStyle w:val="Compact"/>
        <w:numPr>
          <w:ilvl w:val="0"/>
          <w:numId w:val="1036"/>
        </w:numPr>
      </w:pPr>
      <w:r>
        <w:t xml:space="preserve">their own lawful basis for processing employee data</w:t>
      </w:r>
    </w:p>
    <w:p>
      <w:pPr>
        <w:pStyle w:val="Compact"/>
        <w:numPr>
          <w:ilvl w:val="0"/>
          <w:numId w:val="1036"/>
        </w:numPr>
      </w:pPr>
      <w:r>
        <w:t xml:space="preserve">employee communications and privacy notices</w:t>
      </w:r>
    </w:p>
    <w:p>
      <w:pPr>
        <w:pStyle w:val="Compact"/>
        <w:numPr>
          <w:ilvl w:val="0"/>
          <w:numId w:val="1036"/>
        </w:numPr>
      </w:pPr>
      <w:r>
        <w:t xml:space="preserve">HR and employment decisions</w:t>
      </w:r>
    </w:p>
    <w:p>
      <w:pPr>
        <w:pStyle w:val="Compact"/>
        <w:numPr>
          <w:ilvl w:val="0"/>
          <w:numId w:val="1036"/>
        </w:numPr>
      </w:pPr>
      <w:r>
        <w:t xml:space="preserve">internal governance</w:t>
      </w:r>
    </w:p>
    <w:p>
      <w:pPr>
        <w:pStyle w:val="Compact"/>
        <w:numPr>
          <w:ilvl w:val="0"/>
          <w:numId w:val="1036"/>
        </w:numPr>
      </w:pPr>
      <w:r>
        <w:t xml:space="preserve">risk assessment of AI systems used in their organisation</w:t>
      </w:r>
    </w:p>
    <w:p>
      <w:pPr>
        <w:pStyle w:val="Compact"/>
        <w:numPr>
          <w:ilvl w:val="0"/>
          <w:numId w:val="1036"/>
        </w:numPr>
      </w:pPr>
      <w:r>
        <w:t xml:space="preserve">tool approval and access controls</w:t>
      </w:r>
    </w:p>
    <w:p>
      <w:pPr>
        <w:pStyle w:val="Compact"/>
        <w:numPr>
          <w:ilvl w:val="0"/>
          <w:numId w:val="1036"/>
        </w:numPr>
      </w:pPr>
      <w:r>
        <w:t xml:space="preserve">monitoring and enforcement of internal policy</w:t>
      </w:r>
    </w:p>
    <w:p>
      <w:pPr>
        <w:pStyle w:val="Compact"/>
        <w:numPr>
          <w:ilvl w:val="0"/>
          <w:numId w:val="1036"/>
        </w:numPr>
      </w:pPr>
      <w:r>
        <w:t xml:space="preserve">regulatory interpretation and legal advice</w:t>
      </w:r>
    </w:p>
    <w:p>
      <w:pPr>
        <w:pStyle w:val="FirstParagraph"/>
      </w:pPr>
      <w:r>
        <w:t xml:space="preserve">WAIA supports these activities. It does not own them on behalf of the customer.</w:t>
      </w:r>
    </w:p>
    <w:bookmarkEnd w:id="145"/>
    <w:bookmarkStart w:id="146" w:name="ai-literacy-context"/>
    <w:p>
      <w:pPr>
        <w:pStyle w:val="Heading2"/>
      </w:pPr>
      <w:r>
        <w:t xml:space="preserve">AI literacy context</w:t>
      </w:r>
    </w:p>
    <w:p>
      <w:pPr>
        <w:pStyle w:val="FirstParagraph"/>
      </w:pPr>
      <w:r>
        <w:t xml:space="preserve">WAIA can help organisations take practical steps towards workplace AI literacy by giving people structured learning, guidance and evidence of completion.</w:t>
      </w:r>
    </w:p>
    <w:p>
      <w:pPr>
        <w:pStyle w:val="BodyText"/>
      </w:pPr>
      <w:r>
        <w:t xml:space="preserve">The appropriate level of AI literacy will depend on the customer’s sector, workforce, AI systems, risk profile, employee roles and how AI is used in practice.</w:t>
      </w:r>
    </w:p>
    <w:bookmarkEnd w:id="146"/>
    <w:bookmarkStart w:id="147" w:name="use-of-ai-within-waia"/>
    <w:p>
      <w:pPr>
        <w:pStyle w:val="Heading2"/>
      </w:pPr>
      <w:r>
        <w:t xml:space="preserve">Use of AI within WAIA</w:t>
      </w:r>
    </w:p>
    <w:p>
      <w:pPr>
        <w:pStyle w:val="FirstParagraph"/>
      </w:pPr>
      <w:r>
        <w:t xml:space="preserve">WAIA may include AI-related content, frameworks, examples and practical learning materials.</w:t>
      </w:r>
    </w:p>
    <w:p>
      <w:pPr>
        <w:pStyle w:val="BodyText"/>
      </w:pPr>
      <w:r>
        <w:t xml:space="preserve">Unless a feature clearly says otherwise, WAIA is not designed to submit Customer Personal Data to AI model providers for analysis or model training.</w:t>
      </w:r>
    </w:p>
    <w:p>
      <w:pPr>
        <w:pStyle w:val="BodyText"/>
      </w:pPr>
      <w:r>
        <w:t xml:space="preserve">Nineteen Point Two does not intentionally use Customer Personal Data to train AI models.</w:t>
      </w:r>
    </w:p>
    <w:p>
      <w:pPr>
        <w:pStyle w:val="BodyText"/>
      </w:pPr>
      <w:r>
        <w:t xml:space="preserve">If future WAIA features use AI to process customer-specific personal data, Nineteen Point Two will update the relevant customer documentation, product notices, privacy information, subprocessor list and contractual terms as required.</w:t>
      </w:r>
    </w:p>
    <w:bookmarkEnd w:id="147"/>
    <w:bookmarkStart w:id="148" w:name="learner-responses-and-assessments"/>
    <w:p>
      <w:pPr>
        <w:pStyle w:val="Heading2"/>
      </w:pPr>
      <w:r>
        <w:t xml:space="preserve">Learner responses and assessments</w:t>
      </w:r>
    </w:p>
    <w:p>
      <w:pPr>
        <w:pStyle w:val="FirstParagraph"/>
      </w:pPr>
      <w:r>
        <w:t xml:space="preserve">WAIA may collect learner responses, knowledge checks, completion records and acknowledgement activity.</w:t>
      </w:r>
    </w:p>
    <w:p>
      <w:pPr>
        <w:pStyle w:val="BodyText"/>
      </w:pPr>
      <w:r>
        <w:t xml:space="preserve">These records are intended to support learning, evidence and organisational visibility. They should not be treated as a complete measure of employee capability, conduct, compliance or performance.</w:t>
      </w:r>
    </w:p>
    <w:p>
      <w:pPr>
        <w:pStyle w:val="BodyText"/>
      </w:pPr>
      <w:r>
        <w:t xml:space="preserve">Customers should use WAIA records proportionately and in context.</w:t>
      </w:r>
    </w:p>
    <w:bookmarkEnd w:id="148"/>
    <w:bookmarkStart w:id="149" w:name="organisation-guidance"/>
    <w:p>
      <w:pPr>
        <w:pStyle w:val="Heading2"/>
      </w:pPr>
      <w:r>
        <w:t xml:space="preserve">Organisation guidance</w:t>
      </w:r>
    </w:p>
    <w:p>
      <w:pPr>
        <w:pStyle w:val="FirstParagraph"/>
      </w:pPr>
      <w:r>
        <w:t xml:space="preserve">Customer organisations may use WAIA to display their own AI guidance to learners.</w:t>
      </w:r>
    </w:p>
    <w:p>
      <w:pPr>
        <w:pStyle w:val="BodyText"/>
      </w:pPr>
      <w:r>
        <w:t xml:space="preserve">Customers are responsible for ensuring their organisation guidance is accurate, lawful, current and suitable for their workforce.</w:t>
      </w:r>
    </w:p>
    <w:p>
      <w:pPr>
        <w:pStyle w:val="BodyText"/>
      </w:pPr>
      <w:r>
        <w:t xml:space="preserve">If organisation guidance changes after a learner has acknowledged it, WAIA may require the learner to acknowledge the updated version, depending on the platform configuration.</w:t>
      </w:r>
    </w:p>
    <w:bookmarkEnd w:id="149"/>
    <w:bookmarkStart w:id="150" w:name="no-compliance-guarantee"/>
    <w:p>
      <w:pPr>
        <w:pStyle w:val="Heading2"/>
      </w:pPr>
      <w:r>
        <w:t xml:space="preserve">No compliance guarantee</w:t>
      </w:r>
    </w:p>
    <w:p>
      <w:pPr>
        <w:pStyle w:val="FirstParagraph"/>
      </w:pPr>
      <w:r>
        <w:t xml:space="preserve">WAIA is designed to support better workplace AI adoption and practical governance evidence.</w:t>
      </w:r>
    </w:p>
    <w:p>
      <w:pPr>
        <w:pStyle w:val="BodyText"/>
      </w:pPr>
      <w:r>
        <w:t xml:space="preserve">It does not guarantee that an organisation’s AI use is lawful, safe, compliant, complete or risk-free.</w:t>
      </w:r>
    </w:p>
    <w:bookmarkEnd w:id="150"/>
    <w:bookmarkStart w:id="151" w:name="contact-6"/>
    <w:p>
      <w:pPr>
        <w:pStyle w:val="Heading2"/>
      </w:pPr>
      <w:r>
        <w:t xml:space="preserve">Contact</w:t>
      </w:r>
    </w:p>
    <w:p>
      <w:pPr>
        <w:pStyle w:val="FirstParagraph"/>
      </w:pPr>
      <w:r>
        <w:t xml:space="preserve">For questions about WAIA, contact</w:t>
      </w:r>
      <w:r>
        <w:t xml:space="preserve"> </w:t>
      </w:r>
      <w:r>
        <w:rPr>
          <w:b/>
          <w:bCs/>
        </w:rPr>
        <w:t xml:space="preserve">ben@nineteenpointtwo.com</w:t>
      </w:r>
      <w:r>
        <w:t xml:space="preserve">.</w:t>
      </w:r>
    </w:p>
    <w:p>
      <w:r>
        <w:pict>
          <v:rect style="width:0;height:1.5pt" o:hralign="center" o:hrstd="t" o:hr="t"/>
        </w:pict>
      </w:r>
    </w:p>
    <w:bookmarkEnd w:id="151"/>
    <w:bookmarkEnd w:id="152"/>
    <w:bookmarkStart w:id="157" w:name="waia-login-and-onboarding-wording"/>
    <w:p>
      <w:pPr>
        <w:pStyle w:val="Heading1"/>
      </w:pPr>
      <w:r>
        <w:t xml:space="preserve">9. WAIA Login and Onboarding Wording</w:t>
      </w:r>
    </w:p>
    <w:bookmarkStart w:id="153" w:name="waia-login-footer"/>
    <w:p>
      <w:pPr>
        <w:pStyle w:val="Heading2"/>
      </w:pPr>
      <w:r>
        <w:t xml:space="preserve">WAIA login footer</w:t>
      </w:r>
    </w:p>
    <w:p>
      <w:pPr>
        <w:pStyle w:val="FirstParagraph"/>
      </w:pPr>
      <w:r>
        <w:t xml:space="preserve">Suggested wording for</w:t>
      </w:r>
      <w:r>
        <w:t xml:space="preserve"> </w:t>
      </w:r>
      <w:r>
        <w:rPr>
          <w:rStyle w:val="VerbatimChar"/>
        </w:rPr>
        <w:t xml:space="preserve">waia.nineteenpointtwo.com/login</w:t>
      </w:r>
      <w:r>
        <w:t xml:space="preserve">:</w:t>
      </w:r>
    </w:p>
    <w:p>
      <w:pPr>
        <w:pStyle w:val="BodyText"/>
      </w:pPr>
      <w:r>
        <w:t xml:space="preserve">By accessing WAIA, you agree to the applicable WAIA Terms and acknowledge the Privacy Notice. Customer organisations remain responsible for their internal use of WAIA, employee communications, policies and governance decisions.</w:t>
      </w:r>
    </w:p>
    <w:p>
      <w:pPr>
        <w:pStyle w:val="BodyText"/>
      </w:pPr>
      <w:r>
        <w:t xml:space="preserve">Links:</w:t>
      </w:r>
    </w:p>
    <w:p>
      <w:pPr>
        <w:pStyle w:val="Compact"/>
        <w:numPr>
          <w:ilvl w:val="0"/>
          <w:numId w:val="1037"/>
        </w:numPr>
      </w:pPr>
      <w:r>
        <w:t xml:space="preserve">Privacy Notice</w:t>
      </w:r>
    </w:p>
    <w:p>
      <w:pPr>
        <w:pStyle w:val="Compact"/>
        <w:numPr>
          <w:ilvl w:val="0"/>
          <w:numId w:val="1037"/>
        </w:numPr>
      </w:pPr>
      <w:r>
        <w:t xml:space="preserve">WAIA Terms</w:t>
      </w:r>
    </w:p>
    <w:p>
      <w:pPr>
        <w:pStyle w:val="Compact"/>
        <w:numPr>
          <w:ilvl w:val="0"/>
          <w:numId w:val="1037"/>
        </w:numPr>
      </w:pPr>
      <w:r>
        <w:t xml:space="preserve">Subprocessors</w:t>
      </w:r>
    </w:p>
    <w:p>
      <w:pPr>
        <w:pStyle w:val="Compact"/>
        <w:numPr>
          <w:ilvl w:val="0"/>
          <w:numId w:val="1037"/>
        </w:numPr>
      </w:pPr>
      <w:r>
        <w:t xml:space="preserve">Product and AI Use Statement</w:t>
      </w:r>
    </w:p>
    <w:bookmarkEnd w:id="153"/>
    <w:bookmarkStart w:id="154" w:name="learner-first-access-notice"/>
    <w:p>
      <w:pPr>
        <w:pStyle w:val="Heading2"/>
      </w:pPr>
      <w:r>
        <w:t xml:space="preserve">Learner first-access notice</w:t>
      </w:r>
    </w:p>
    <w:p>
      <w:pPr>
        <w:pStyle w:val="FirstParagraph"/>
      </w:pPr>
      <w:r>
        <w:t xml:space="preserve">Suggested wording:</w:t>
      </w:r>
    </w:p>
    <w:p>
      <w:pPr>
        <w:pStyle w:val="BodyText"/>
      </w:pPr>
      <w:r>
        <w:t xml:space="preserve">Your organisation uses WAIA to provide workplace AI learning, guidance and adoption evidence. WAIA may record your course access, progress, completion, knowledge check responses and acknowledgement of organisation guidance.</w:t>
      </w:r>
    </w:p>
    <w:p>
      <w:pPr>
        <w:pStyle w:val="BodyText"/>
      </w:pPr>
      <w:r>
        <w:t xml:space="preserve">Your organisation is usually responsible for deciding how this information is used internally. Nineteen Point Two provides WAIA as the platform provider.</w:t>
      </w:r>
    </w:p>
    <w:p>
      <w:pPr>
        <w:pStyle w:val="BodyText"/>
      </w:pPr>
      <w:r>
        <w:t xml:space="preserve">Before continuing, please review the Privacy Notice and your organisation’s internal guidance.</w:t>
      </w:r>
    </w:p>
    <w:p>
      <w:pPr>
        <w:pStyle w:val="BodyText"/>
      </w:pPr>
      <w:r>
        <w:t xml:space="preserve">Checkbox text:</w:t>
      </w:r>
    </w:p>
    <w:p>
      <w:pPr>
        <w:pStyle w:val="BodyText"/>
      </w:pPr>
      <w:r>
        <w:t xml:space="preserve">I understand that WAIA may record my learning progress, completion activity and guidance acknowledgements for my organisation.</w:t>
      </w:r>
    </w:p>
    <w:bookmarkEnd w:id="154"/>
    <w:bookmarkStart w:id="155" w:name="organisation-admin-first-access-notice"/>
    <w:p>
      <w:pPr>
        <w:pStyle w:val="Heading2"/>
      </w:pPr>
      <w:r>
        <w:t xml:space="preserve">Organisation admin first-access notice</w:t>
      </w:r>
    </w:p>
    <w:p>
      <w:pPr>
        <w:pStyle w:val="FirstParagraph"/>
      </w:pPr>
      <w:r>
        <w:t xml:space="preserve">Suggested wording:</w:t>
      </w:r>
    </w:p>
    <w:p>
      <w:pPr>
        <w:pStyle w:val="BodyText"/>
      </w:pPr>
      <w:r>
        <w:t xml:space="preserve">As an organisation administrator, you may be able to invite learners, assign courses, manage organisation guidance, view progress and access completion evidence.</w:t>
      </w:r>
    </w:p>
    <w:p>
      <w:pPr>
        <w:pStyle w:val="BodyText"/>
      </w:pPr>
      <w:r>
        <w:t xml:space="preserve">You are responsible for using WAIA in line with your organisation’s policies and for ensuring that learner data is handled appropriately.</w:t>
      </w:r>
    </w:p>
    <w:p>
      <w:pPr>
        <w:pStyle w:val="BodyText"/>
      </w:pPr>
      <w:r>
        <w:t xml:space="preserve">Checkbox text:</w:t>
      </w:r>
    </w:p>
    <w:p>
      <w:pPr>
        <w:pStyle w:val="BodyText"/>
      </w:pPr>
      <w:r>
        <w:t xml:space="preserve">I understand my responsibilities as a WAIA organisation administrator.</w:t>
      </w:r>
    </w:p>
    <w:bookmarkEnd w:id="155"/>
    <w:bookmarkStart w:id="156" w:name="customer-proposal-wording"/>
    <w:p>
      <w:pPr>
        <w:pStyle w:val="Heading2"/>
      </w:pPr>
      <w:r>
        <w:t xml:space="preserve">Customer proposal wording</w:t>
      </w:r>
    </w:p>
    <w:p>
      <w:pPr>
        <w:pStyle w:val="FirstParagraph"/>
      </w:pPr>
      <w:r>
        <w:t xml:space="preserve">Suggested wording:</w:t>
      </w:r>
    </w:p>
    <w:p>
      <w:pPr>
        <w:pStyle w:val="BodyText"/>
      </w:pPr>
      <w:r>
        <w:t xml:space="preserve">WAIA is provided under Nineteen Point Two’s WAIA Terms of Service, Privacy Notice and Data Processing Agreement. For learner data, the customer organisation usually acts as controller and Nineteen Point Two acts as processor. Nineteen Point Two uses approved subprocessors to host, operate, secure and support the platform.</w:t>
      </w:r>
    </w:p>
    <w:p>
      <w:r>
        <w:pict>
          <v:rect style="width:0;height:1.5pt" o:hralign="center" o:hrstd="t" o:hr="t"/>
        </w:pict>
      </w:r>
    </w:p>
    <w:bookmarkEnd w:id="156"/>
    <w:bookmarkEnd w:id="157"/>
    <w:bookmarkStart w:id="168" w:name="Xbff59c8a6870b548c4902fb9662482457e52ccf"/>
    <w:p>
      <w:pPr>
        <w:pStyle w:val="Heading1"/>
      </w:pPr>
      <w:r>
        <w:t xml:space="preserve">10. Internal Data Map and Confirmation Checklist</w:t>
      </w:r>
    </w:p>
    <w:p>
      <w:pPr>
        <w:pStyle w:val="FirstParagraph"/>
      </w:pPr>
      <w:r>
        <w:t xml:space="preserve">This section should not be published as legal wording. It is an internal checklist to make sure the public documents match reality.</w:t>
      </w:r>
    </w:p>
    <w:bookmarkStart w:id="158" w:name="a.-entity-details"/>
    <w:p>
      <w:pPr>
        <w:pStyle w:val="Heading2"/>
      </w:pPr>
      <w:r>
        <w:t xml:space="preserve">A. Entity details</w:t>
      </w:r>
    </w:p>
    <w:p>
      <w:pPr>
        <w:pStyle w:val="Compact"/>
        <w:numPr>
          <w:ilvl w:val="0"/>
          <w:numId w:val="1038"/>
        </w:numPr>
      </w:pPr>
      <w:r>
        <w:t xml:space="preserve">Confirm legal entity name</w:t>
      </w:r>
    </w:p>
    <w:p>
      <w:pPr>
        <w:pStyle w:val="Compact"/>
        <w:numPr>
          <w:ilvl w:val="0"/>
          <w:numId w:val="1038"/>
        </w:numPr>
      </w:pPr>
      <w:r>
        <w:t xml:space="preserve">Confirm company number</w:t>
      </w:r>
    </w:p>
    <w:p>
      <w:pPr>
        <w:pStyle w:val="Compact"/>
        <w:numPr>
          <w:ilvl w:val="0"/>
          <w:numId w:val="1038"/>
        </w:numPr>
      </w:pPr>
      <w:r>
        <w:t xml:space="preserve">Confirm registered address</w:t>
      </w:r>
    </w:p>
    <w:p>
      <w:pPr>
        <w:pStyle w:val="Compact"/>
        <w:numPr>
          <w:ilvl w:val="0"/>
          <w:numId w:val="1038"/>
        </w:numPr>
      </w:pPr>
      <w:r>
        <w:t xml:space="preserve">Confirm trading names</w:t>
      </w:r>
    </w:p>
    <w:p>
      <w:pPr>
        <w:pStyle w:val="Compact"/>
        <w:numPr>
          <w:ilvl w:val="0"/>
          <w:numId w:val="1038"/>
        </w:numPr>
      </w:pPr>
      <w:r>
        <w:t xml:space="preserve">Confirm privacy contact email</w:t>
      </w:r>
    </w:p>
    <w:p>
      <w:pPr>
        <w:pStyle w:val="Compact"/>
        <w:numPr>
          <w:ilvl w:val="0"/>
          <w:numId w:val="1038"/>
        </w:numPr>
      </w:pPr>
      <w:r>
        <w:t xml:space="preserve">Confirm contract notice email</w:t>
      </w:r>
    </w:p>
    <w:bookmarkEnd w:id="158"/>
    <w:bookmarkStart w:id="159" w:name="b.-product-environments"/>
    <w:p>
      <w:pPr>
        <w:pStyle w:val="Heading2"/>
      </w:pPr>
      <w:r>
        <w:t xml:space="preserve">B. Product environments</w:t>
      </w:r>
    </w:p>
    <w:p>
      <w:pPr>
        <w:pStyle w:val="Compact"/>
        <w:numPr>
          <w:ilvl w:val="0"/>
          <w:numId w:val="1039"/>
        </w:numPr>
      </w:pPr>
      <w:r>
        <w:t xml:space="preserve">Confirm where</w:t>
      </w:r>
      <w:r>
        <w:t xml:space="preserve"> </w:t>
      </w:r>
      <w:r>
        <w:rPr>
          <w:rStyle w:val="VerbatimChar"/>
        </w:rPr>
        <w:t xml:space="preserve">www.nineteenpointtwo.com</w:t>
      </w:r>
      <w:r>
        <w:t xml:space="preserve"> </w:t>
      </w:r>
      <w:r>
        <w:t xml:space="preserve">is hosted</w:t>
      </w:r>
    </w:p>
    <w:p>
      <w:pPr>
        <w:pStyle w:val="Compact"/>
        <w:numPr>
          <w:ilvl w:val="0"/>
          <w:numId w:val="1039"/>
        </w:numPr>
      </w:pPr>
      <w:r>
        <w:t xml:space="preserve">Confirm where</w:t>
      </w:r>
      <w:r>
        <w:t xml:space="preserve"> </w:t>
      </w:r>
      <w:r>
        <w:rPr>
          <w:rStyle w:val="VerbatimChar"/>
        </w:rPr>
        <w:t xml:space="preserve">waia.nineteenpointtwo.com</w:t>
      </w:r>
      <w:r>
        <w:t xml:space="preserve"> </w:t>
      </w:r>
      <w:r>
        <w:t xml:space="preserve">is hosted</w:t>
      </w:r>
    </w:p>
    <w:p>
      <w:pPr>
        <w:pStyle w:val="Compact"/>
        <w:numPr>
          <w:ilvl w:val="0"/>
          <w:numId w:val="1039"/>
        </w:numPr>
      </w:pPr>
      <w:r>
        <w:t xml:space="preserve">Confirm whether WAIA production is served through Lovable Cloud</w:t>
      </w:r>
    </w:p>
    <w:p>
      <w:pPr>
        <w:pStyle w:val="Compact"/>
        <w:numPr>
          <w:ilvl w:val="0"/>
          <w:numId w:val="1039"/>
        </w:numPr>
      </w:pPr>
      <w:r>
        <w:t xml:space="preserve">Confirm whether Cloudflare is used for DNS, hosting, routing, security or deployment</w:t>
      </w:r>
    </w:p>
    <w:p>
      <w:pPr>
        <w:pStyle w:val="Compact"/>
        <w:numPr>
          <w:ilvl w:val="0"/>
          <w:numId w:val="1039"/>
        </w:numPr>
      </w:pPr>
      <w:r>
        <w:t xml:space="preserve">Confirm whether GitHub Pages serves the main 19.2 site</w:t>
      </w:r>
    </w:p>
    <w:p>
      <w:pPr>
        <w:pStyle w:val="Compact"/>
        <w:numPr>
          <w:ilvl w:val="0"/>
          <w:numId w:val="1039"/>
        </w:numPr>
      </w:pPr>
      <w:r>
        <w:t xml:space="preserve">Confirm production Supabase region</w:t>
      </w:r>
    </w:p>
    <w:p>
      <w:pPr>
        <w:pStyle w:val="Compact"/>
        <w:numPr>
          <w:ilvl w:val="0"/>
          <w:numId w:val="1039"/>
        </w:numPr>
      </w:pPr>
      <w:r>
        <w:t xml:space="preserve">Confirm whether Supabase is contracted directly by 19.2 or through Lovable</w:t>
      </w:r>
    </w:p>
    <w:bookmarkEnd w:id="159"/>
    <w:bookmarkStart w:id="160" w:name="c.-data-stores"/>
    <w:p>
      <w:pPr>
        <w:pStyle w:val="Heading2"/>
      </w:pPr>
      <w:r>
        <w:t xml:space="preserve">C. Data stores</w:t>
      </w:r>
    </w:p>
    <w:p>
      <w:pPr>
        <w:pStyle w:val="Compact"/>
        <w:numPr>
          <w:ilvl w:val="0"/>
          <w:numId w:val="1040"/>
        </w:numPr>
      </w:pPr>
      <w:r>
        <w:t xml:space="preserve">Confirm where user accounts are stored</w:t>
      </w:r>
    </w:p>
    <w:p>
      <w:pPr>
        <w:pStyle w:val="Compact"/>
        <w:numPr>
          <w:ilvl w:val="0"/>
          <w:numId w:val="1040"/>
        </w:numPr>
      </w:pPr>
      <w:r>
        <w:t xml:space="preserve">Confirm where learner progress is stored</w:t>
      </w:r>
    </w:p>
    <w:p>
      <w:pPr>
        <w:pStyle w:val="Compact"/>
        <w:numPr>
          <w:ilvl w:val="0"/>
          <w:numId w:val="1040"/>
        </w:numPr>
      </w:pPr>
      <w:r>
        <w:t xml:space="preserve">Confirm where organisation guidance is stored</w:t>
      </w:r>
    </w:p>
    <w:p>
      <w:pPr>
        <w:pStyle w:val="Compact"/>
        <w:numPr>
          <w:ilvl w:val="0"/>
          <w:numId w:val="1040"/>
        </w:numPr>
      </w:pPr>
      <w:r>
        <w:t xml:space="preserve">Confirm where organisation logos and URLs are stored</w:t>
      </w:r>
    </w:p>
    <w:p>
      <w:pPr>
        <w:pStyle w:val="Compact"/>
        <w:numPr>
          <w:ilvl w:val="0"/>
          <w:numId w:val="1040"/>
        </w:numPr>
      </w:pPr>
      <w:r>
        <w:t xml:space="preserve">Confirm where support records are stored</w:t>
      </w:r>
    </w:p>
    <w:p>
      <w:pPr>
        <w:pStyle w:val="Compact"/>
        <w:numPr>
          <w:ilvl w:val="0"/>
          <w:numId w:val="1040"/>
        </w:numPr>
      </w:pPr>
      <w:r>
        <w:t xml:space="preserve">Confirm where billing records are stored</w:t>
      </w:r>
    </w:p>
    <w:p>
      <w:pPr>
        <w:pStyle w:val="Compact"/>
        <w:numPr>
          <w:ilvl w:val="0"/>
          <w:numId w:val="1040"/>
        </w:numPr>
      </w:pPr>
      <w:r>
        <w:t xml:space="preserve">Confirm whether backups exist and how long they are retained</w:t>
      </w:r>
    </w:p>
    <w:p>
      <w:pPr>
        <w:pStyle w:val="Compact"/>
        <w:numPr>
          <w:ilvl w:val="0"/>
          <w:numId w:val="1040"/>
        </w:numPr>
      </w:pPr>
      <w:r>
        <w:t xml:space="preserve">Confirm whether technical logs contain IP addresses or user identifiers</w:t>
      </w:r>
    </w:p>
    <w:bookmarkEnd w:id="160"/>
    <w:bookmarkStart w:id="161" w:name="d.-user-roles"/>
    <w:p>
      <w:pPr>
        <w:pStyle w:val="Heading2"/>
      </w:pPr>
      <w:r>
        <w:t xml:space="preserve">D. User roles</w:t>
      </w:r>
    </w:p>
    <w:p>
      <w:pPr>
        <w:pStyle w:val="Compact"/>
        <w:numPr>
          <w:ilvl w:val="0"/>
          <w:numId w:val="1041"/>
        </w:numPr>
      </w:pPr>
      <w:r>
        <w:t xml:space="preserve">Platform admin</w:t>
      </w:r>
    </w:p>
    <w:p>
      <w:pPr>
        <w:pStyle w:val="Compact"/>
        <w:numPr>
          <w:ilvl w:val="0"/>
          <w:numId w:val="1041"/>
        </w:numPr>
      </w:pPr>
      <w:r>
        <w:t xml:space="preserve">Organisation admin</w:t>
      </w:r>
    </w:p>
    <w:p>
      <w:pPr>
        <w:pStyle w:val="Compact"/>
        <w:numPr>
          <w:ilvl w:val="0"/>
          <w:numId w:val="1041"/>
        </w:numPr>
      </w:pPr>
      <w:r>
        <w:t xml:space="preserve">Learner</w:t>
      </w:r>
    </w:p>
    <w:p>
      <w:pPr>
        <w:pStyle w:val="Compact"/>
        <w:numPr>
          <w:ilvl w:val="0"/>
          <w:numId w:val="1041"/>
        </w:numPr>
      </w:pPr>
      <w:r>
        <w:t xml:space="preserve">Support or technical admin</w:t>
      </w:r>
    </w:p>
    <w:p>
      <w:pPr>
        <w:pStyle w:val="Compact"/>
        <w:numPr>
          <w:ilvl w:val="0"/>
          <w:numId w:val="1041"/>
        </w:numPr>
      </w:pPr>
      <w:r>
        <w:t xml:space="preserve">External supplier access</w:t>
      </w:r>
    </w:p>
    <w:p>
      <w:pPr>
        <w:pStyle w:val="FirstParagraph"/>
      </w:pPr>
      <w:r>
        <w:t xml:space="preserve">For each role, document:</w:t>
      </w:r>
    </w:p>
    <w:p>
      <w:pPr>
        <w:pStyle w:val="Compact"/>
        <w:numPr>
          <w:ilvl w:val="0"/>
          <w:numId w:val="1042"/>
        </w:numPr>
      </w:pPr>
      <w:r>
        <w:t xml:space="preserve">what data they can see</w:t>
      </w:r>
    </w:p>
    <w:p>
      <w:pPr>
        <w:pStyle w:val="Compact"/>
        <w:numPr>
          <w:ilvl w:val="0"/>
          <w:numId w:val="1042"/>
        </w:numPr>
      </w:pPr>
      <w:r>
        <w:t xml:space="preserve">what data they can change</w:t>
      </w:r>
    </w:p>
    <w:p>
      <w:pPr>
        <w:pStyle w:val="Compact"/>
        <w:numPr>
          <w:ilvl w:val="0"/>
          <w:numId w:val="1042"/>
        </w:numPr>
      </w:pPr>
      <w:r>
        <w:t xml:space="preserve">whether access is logged</w:t>
      </w:r>
    </w:p>
    <w:p>
      <w:pPr>
        <w:pStyle w:val="Compact"/>
        <w:numPr>
          <w:ilvl w:val="0"/>
          <w:numId w:val="1042"/>
        </w:numPr>
      </w:pPr>
      <w:r>
        <w:t xml:space="preserve">who approves access</w:t>
      </w:r>
    </w:p>
    <w:p>
      <w:pPr>
        <w:pStyle w:val="Compact"/>
        <w:numPr>
          <w:ilvl w:val="0"/>
          <w:numId w:val="1042"/>
        </w:numPr>
      </w:pPr>
      <w:r>
        <w:t xml:space="preserve">how access is removed</w:t>
      </w:r>
    </w:p>
    <w:bookmarkEnd w:id="161"/>
    <w:bookmarkStart w:id="162" w:name="e.-subprocessors"/>
    <w:p>
      <w:pPr>
        <w:pStyle w:val="Heading2"/>
      </w:pPr>
      <w:r>
        <w:t xml:space="preserve">E. Subprocessors</w:t>
      </w:r>
    </w:p>
    <w:p>
      <w:pPr>
        <w:pStyle w:val="FirstParagraph"/>
      </w:pPr>
      <w:r>
        <w:t xml:space="preserve">Confirm whether each is active and whether it receives Customer Personal Data:</w:t>
      </w:r>
    </w:p>
    <w:p>
      <w:pPr>
        <w:pStyle w:val="Compact"/>
        <w:numPr>
          <w:ilvl w:val="0"/>
          <w:numId w:val="1043"/>
        </w:numPr>
      </w:pPr>
      <w:r>
        <w:t xml:space="preserve">Lovable</w:t>
      </w:r>
    </w:p>
    <w:p>
      <w:pPr>
        <w:pStyle w:val="Compact"/>
        <w:numPr>
          <w:ilvl w:val="0"/>
          <w:numId w:val="1043"/>
        </w:numPr>
      </w:pPr>
      <w:r>
        <w:t xml:space="preserve">Supabase</w:t>
      </w:r>
    </w:p>
    <w:p>
      <w:pPr>
        <w:pStyle w:val="Compact"/>
        <w:numPr>
          <w:ilvl w:val="0"/>
          <w:numId w:val="1043"/>
        </w:numPr>
      </w:pPr>
      <w:r>
        <w:t xml:space="preserve">GitHub</w:t>
      </w:r>
    </w:p>
    <w:p>
      <w:pPr>
        <w:pStyle w:val="Compact"/>
        <w:numPr>
          <w:ilvl w:val="0"/>
          <w:numId w:val="1043"/>
        </w:numPr>
      </w:pPr>
      <w:r>
        <w:t xml:space="preserve">Cloudflare</w:t>
      </w:r>
    </w:p>
    <w:p>
      <w:pPr>
        <w:pStyle w:val="Compact"/>
        <w:numPr>
          <w:ilvl w:val="0"/>
          <w:numId w:val="1043"/>
        </w:numPr>
      </w:pPr>
      <w:r>
        <w:t xml:space="preserve">Microsoft 365</w:t>
      </w:r>
    </w:p>
    <w:p>
      <w:pPr>
        <w:pStyle w:val="Compact"/>
        <w:numPr>
          <w:ilvl w:val="0"/>
          <w:numId w:val="1043"/>
        </w:numPr>
      </w:pPr>
      <w:r>
        <w:t xml:space="preserve">Google Workspace</w:t>
      </w:r>
    </w:p>
    <w:p>
      <w:pPr>
        <w:pStyle w:val="Compact"/>
        <w:numPr>
          <w:ilvl w:val="0"/>
          <w:numId w:val="1043"/>
        </w:numPr>
      </w:pPr>
      <w:r>
        <w:t xml:space="preserve">Hunter.io</w:t>
      </w:r>
    </w:p>
    <w:p>
      <w:pPr>
        <w:pStyle w:val="Compact"/>
        <w:numPr>
          <w:ilvl w:val="0"/>
          <w:numId w:val="1043"/>
        </w:numPr>
      </w:pPr>
      <w:r>
        <w:t xml:space="preserve">analytics provider</w:t>
      </w:r>
    </w:p>
    <w:p>
      <w:pPr>
        <w:pStyle w:val="Compact"/>
        <w:numPr>
          <w:ilvl w:val="0"/>
          <w:numId w:val="1043"/>
        </w:numPr>
      </w:pPr>
      <w:r>
        <w:t xml:space="preserve">email provider</w:t>
      </w:r>
    </w:p>
    <w:p>
      <w:pPr>
        <w:pStyle w:val="Compact"/>
        <w:numPr>
          <w:ilvl w:val="0"/>
          <w:numId w:val="1043"/>
        </w:numPr>
      </w:pPr>
      <w:r>
        <w:t xml:space="preserve">billing or accounting provider</w:t>
      </w:r>
    </w:p>
    <w:p>
      <w:pPr>
        <w:pStyle w:val="Compact"/>
        <w:numPr>
          <w:ilvl w:val="0"/>
          <w:numId w:val="1043"/>
        </w:numPr>
      </w:pPr>
      <w:r>
        <w:t xml:space="preserve">support tool provider</w:t>
      </w:r>
    </w:p>
    <w:p>
      <w:pPr>
        <w:pStyle w:val="Compact"/>
        <w:numPr>
          <w:ilvl w:val="0"/>
          <w:numId w:val="1043"/>
        </w:numPr>
      </w:pPr>
      <w:r>
        <w:t xml:space="preserve">OpenAI or other AI provider</w:t>
      </w:r>
    </w:p>
    <w:bookmarkEnd w:id="162"/>
    <w:bookmarkStart w:id="163" w:name="f.-cookies-and-analytics"/>
    <w:p>
      <w:pPr>
        <w:pStyle w:val="Heading2"/>
      </w:pPr>
      <w:r>
        <w:t xml:space="preserve">F. Cookies and analytics</w:t>
      </w:r>
    </w:p>
    <w:p>
      <w:pPr>
        <w:pStyle w:val="Compact"/>
        <w:numPr>
          <w:ilvl w:val="0"/>
          <w:numId w:val="1044"/>
        </w:numPr>
      </w:pPr>
      <w:r>
        <w:t xml:space="preserve">Confirm whether the main site uses cookies</w:t>
      </w:r>
    </w:p>
    <w:p>
      <w:pPr>
        <w:pStyle w:val="Compact"/>
        <w:numPr>
          <w:ilvl w:val="0"/>
          <w:numId w:val="1044"/>
        </w:numPr>
      </w:pPr>
      <w:r>
        <w:t xml:space="preserve">Confirm whether WAIA uses cookies beyond login/session/security</w:t>
      </w:r>
    </w:p>
    <w:p>
      <w:pPr>
        <w:pStyle w:val="Compact"/>
        <w:numPr>
          <w:ilvl w:val="0"/>
          <w:numId w:val="1044"/>
        </w:numPr>
      </w:pPr>
      <w:r>
        <w:t xml:space="preserve">Confirm analytics tools</w:t>
      </w:r>
    </w:p>
    <w:p>
      <w:pPr>
        <w:pStyle w:val="Compact"/>
        <w:numPr>
          <w:ilvl w:val="0"/>
          <w:numId w:val="1044"/>
        </w:numPr>
      </w:pPr>
      <w:r>
        <w:t xml:space="preserve">Confirm marketing pixels</w:t>
      </w:r>
    </w:p>
    <w:p>
      <w:pPr>
        <w:pStyle w:val="Compact"/>
        <w:numPr>
          <w:ilvl w:val="0"/>
          <w:numId w:val="1044"/>
        </w:numPr>
      </w:pPr>
      <w:r>
        <w:t xml:space="preserve">Confirm whether a cookie banner is required</w:t>
      </w:r>
    </w:p>
    <w:p>
      <w:pPr>
        <w:pStyle w:val="Compact"/>
        <w:numPr>
          <w:ilvl w:val="0"/>
          <w:numId w:val="1044"/>
        </w:numPr>
      </w:pPr>
      <w:r>
        <w:t xml:space="preserve">Confirm cookie retention periods</w:t>
      </w:r>
    </w:p>
    <w:bookmarkEnd w:id="163"/>
    <w:bookmarkStart w:id="164" w:name="g.-ai-processing"/>
    <w:p>
      <w:pPr>
        <w:pStyle w:val="Heading2"/>
      </w:pPr>
      <w:r>
        <w:t xml:space="preserve">G. AI processing</w:t>
      </w:r>
    </w:p>
    <w:p>
      <w:pPr>
        <w:pStyle w:val="Compact"/>
        <w:numPr>
          <w:ilvl w:val="0"/>
          <w:numId w:val="1045"/>
        </w:numPr>
      </w:pPr>
      <w:r>
        <w:t xml:space="preserve">Confirm whether any WAIA feature sends Customer Personal Data to an AI model provider</w:t>
      </w:r>
    </w:p>
    <w:p>
      <w:pPr>
        <w:pStyle w:val="Compact"/>
        <w:numPr>
          <w:ilvl w:val="0"/>
          <w:numId w:val="1045"/>
        </w:numPr>
      </w:pPr>
      <w:r>
        <w:t xml:space="preserve">Confirm whether internal agents process customer-specific data</w:t>
      </w:r>
    </w:p>
    <w:p>
      <w:pPr>
        <w:pStyle w:val="Compact"/>
        <w:numPr>
          <w:ilvl w:val="0"/>
          <w:numId w:val="1045"/>
        </w:numPr>
      </w:pPr>
      <w:r>
        <w:t xml:space="preserve">Confirm whether diagnostic inputs include personal data</w:t>
      </w:r>
    </w:p>
    <w:p>
      <w:pPr>
        <w:pStyle w:val="Compact"/>
        <w:numPr>
          <w:ilvl w:val="0"/>
          <w:numId w:val="1045"/>
        </w:numPr>
      </w:pPr>
      <w:r>
        <w:t xml:space="preserve">Confirm whether AI outputs are stored</w:t>
      </w:r>
    </w:p>
    <w:p>
      <w:pPr>
        <w:pStyle w:val="Compact"/>
        <w:numPr>
          <w:ilvl w:val="0"/>
          <w:numId w:val="1045"/>
        </w:numPr>
      </w:pPr>
      <w:r>
        <w:t xml:space="preserve">Confirm whether model training is disabled or contractually excluded</w:t>
      </w:r>
    </w:p>
    <w:p>
      <w:pPr>
        <w:pStyle w:val="Compact"/>
        <w:numPr>
          <w:ilvl w:val="0"/>
          <w:numId w:val="1045"/>
        </w:numPr>
      </w:pPr>
      <w:r>
        <w:t xml:space="preserve">Confirm whether OpenAI or another AI provider needs to be listed as a subprocessor</w:t>
      </w:r>
    </w:p>
    <w:bookmarkEnd w:id="164"/>
    <w:bookmarkStart w:id="165" w:name="h.-retention"/>
    <w:p>
      <w:pPr>
        <w:pStyle w:val="Heading2"/>
      </w:pPr>
      <w:r>
        <w:t xml:space="preserve">H. Retention</w:t>
      </w:r>
    </w:p>
    <w:p>
      <w:pPr>
        <w:pStyle w:val="FirstParagraph"/>
      </w:pPr>
      <w:r>
        <w:t xml:space="preserve">Set final retention periods for:</w:t>
      </w:r>
    </w:p>
    <w:p>
      <w:pPr>
        <w:pStyle w:val="Compact"/>
        <w:numPr>
          <w:ilvl w:val="0"/>
          <w:numId w:val="1046"/>
        </w:numPr>
      </w:pPr>
      <w:r>
        <w:t xml:space="preserve">prospect data</w:t>
      </w:r>
    </w:p>
    <w:p>
      <w:pPr>
        <w:pStyle w:val="Compact"/>
        <w:numPr>
          <w:ilvl w:val="0"/>
          <w:numId w:val="1046"/>
        </w:numPr>
      </w:pPr>
      <w:r>
        <w:t xml:space="preserve">customer contact data</w:t>
      </w:r>
    </w:p>
    <w:p>
      <w:pPr>
        <w:pStyle w:val="Compact"/>
        <w:numPr>
          <w:ilvl w:val="0"/>
          <w:numId w:val="1046"/>
        </w:numPr>
      </w:pPr>
      <w:r>
        <w:t xml:space="preserve">billing data</w:t>
      </w:r>
    </w:p>
    <w:p>
      <w:pPr>
        <w:pStyle w:val="Compact"/>
        <w:numPr>
          <w:ilvl w:val="0"/>
          <w:numId w:val="1046"/>
        </w:numPr>
      </w:pPr>
      <w:r>
        <w:t xml:space="preserve">learner progress records</w:t>
      </w:r>
    </w:p>
    <w:p>
      <w:pPr>
        <w:pStyle w:val="Compact"/>
        <w:numPr>
          <w:ilvl w:val="0"/>
          <w:numId w:val="1046"/>
        </w:numPr>
      </w:pPr>
      <w:r>
        <w:t xml:space="preserve">guidance acknowledgement records</w:t>
      </w:r>
    </w:p>
    <w:p>
      <w:pPr>
        <w:pStyle w:val="Compact"/>
        <w:numPr>
          <w:ilvl w:val="0"/>
          <w:numId w:val="1046"/>
        </w:numPr>
      </w:pPr>
      <w:r>
        <w:t xml:space="preserve">certificate records</w:t>
      </w:r>
    </w:p>
    <w:p>
      <w:pPr>
        <w:pStyle w:val="Compact"/>
        <w:numPr>
          <w:ilvl w:val="0"/>
          <w:numId w:val="1046"/>
        </w:numPr>
      </w:pPr>
      <w:r>
        <w:t xml:space="preserve">support records</w:t>
      </w:r>
    </w:p>
    <w:p>
      <w:pPr>
        <w:pStyle w:val="Compact"/>
        <w:numPr>
          <w:ilvl w:val="0"/>
          <w:numId w:val="1046"/>
        </w:numPr>
      </w:pPr>
      <w:r>
        <w:t xml:space="preserve">security logs</w:t>
      </w:r>
    </w:p>
    <w:p>
      <w:pPr>
        <w:pStyle w:val="Compact"/>
        <w:numPr>
          <w:ilvl w:val="0"/>
          <w:numId w:val="1046"/>
        </w:numPr>
      </w:pPr>
      <w:r>
        <w:t xml:space="preserve">backups</w:t>
      </w:r>
    </w:p>
    <w:p>
      <w:pPr>
        <w:pStyle w:val="Compact"/>
        <w:numPr>
          <w:ilvl w:val="0"/>
          <w:numId w:val="1046"/>
        </w:numPr>
      </w:pPr>
      <w:r>
        <w:t xml:space="preserve">deleted users</w:t>
      </w:r>
    </w:p>
    <w:p>
      <w:pPr>
        <w:pStyle w:val="Compact"/>
        <w:numPr>
          <w:ilvl w:val="0"/>
          <w:numId w:val="1046"/>
        </w:numPr>
      </w:pPr>
      <w:r>
        <w:t xml:space="preserve">expired trials</w:t>
      </w:r>
    </w:p>
    <w:bookmarkEnd w:id="165"/>
    <w:bookmarkStart w:id="166" w:name="i.-security-controls"/>
    <w:p>
      <w:pPr>
        <w:pStyle w:val="Heading2"/>
      </w:pPr>
      <w:r>
        <w:t xml:space="preserve">I. Security controls</w:t>
      </w:r>
    </w:p>
    <w:p>
      <w:pPr>
        <w:pStyle w:val="FirstParagraph"/>
      </w:pPr>
      <w:r>
        <w:t xml:space="preserve">Confirm and document:</w:t>
      </w:r>
    </w:p>
    <w:p>
      <w:pPr>
        <w:pStyle w:val="Compact"/>
        <w:numPr>
          <w:ilvl w:val="0"/>
          <w:numId w:val="1047"/>
        </w:numPr>
      </w:pPr>
      <w:r>
        <w:t xml:space="preserve">authentication method</w:t>
      </w:r>
    </w:p>
    <w:p>
      <w:pPr>
        <w:pStyle w:val="Compact"/>
        <w:numPr>
          <w:ilvl w:val="0"/>
          <w:numId w:val="1047"/>
        </w:numPr>
      </w:pPr>
      <w:r>
        <w:t xml:space="preserve">password or magic link approach</w:t>
      </w:r>
    </w:p>
    <w:p>
      <w:pPr>
        <w:pStyle w:val="Compact"/>
        <w:numPr>
          <w:ilvl w:val="0"/>
          <w:numId w:val="1047"/>
        </w:numPr>
      </w:pPr>
      <w:r>
        <w:t xml:space="preserve">role-based access controls</w:t>
      </w:r>
    </w:p>
    <w:p>
      <w:pPr>
        <w:pStyle w:val="Compact"/>
        <w:numPr>
          <w:ilvl w:val="0"/>
          <w:numId w:val="1047"/>
        </w:numPr>
      </w:pPr>
      <w:r>
        <w:t xml:space="preserve">Supabase RLS status</w:t>
      </w:r>
    </w:p>
    <w:p>
      <w:pPr>
        <w:pStyle w:val="Compact"/>
        <w:numPr>
          <w:ilvl w:val="0"/>
          <w:numId w:val="1047"/>
        </w:numPr>
      </w:pPr>
      <w:r>
        <w:t xml:space="preserve">platform admin controls</w:t>
      </w:r>
    </w:p>
    <w:p>
      <w:pPr>
        <w:pStyle w:val="Compact"/>
        <w:numPr>
          <w:ilvl w:val="0"/>
          <w:numId w:val="1047"/>
        </w:numPr>
      </w:pPr>
      <w:r>
        <w:t xml:space="preserve">organisation admin scope limits</w:t>
      </w:r>
    </w:p>
    <w:p>
      <w:pPr>
        <w:pStyle w:val="Compact"/>
        <w:numPr>
          <w:ilvl w:val="0"/>
          <w:numId w:val="1047"/>
        </w:numPr>
      </w:pPr>
      <w:r>
        <w:t xml:space="preserve">logging</w:t>
      </w:r>
    </w:p>
    <w:p>
      <w:pPr>
        <w:pStyle w:val="Compact"/>
        <w:numPr>
          <w:ilvl w:val="0"/>
          <w:numId w:val="1047"/>
        </w:numPr>
      </w:pPr>
      <w:r>
        <w:t xml:space="preserve">backups</w:t>
      </w:r>
    </w:p>
    <w:p>
      <w:pPr>
        <w:pStyle w:val="Compact"/>
        <w:numPr>
          <w:ilvl w:val="0"/>
          <w:numId w:val="1047"/>
        </w:numPr>
      </w:pPr>
      <w:r>
        <w:t xml:space="preserve">encryption in transit</w:t>
      </w:r>
    </w:p>
    <w:p>
      <w:pPr>
        <w:pStyle w:val="Compact"/>
        <w:numPr>
          <w:ilvl w:val="0"/>
          <w:numId w:val="1047"/>
        </w:numPr>
      </w:pPr>
      <w:r>
        <w:t xml:space="preserve">encryption at rest through providers</w:t>
      </w:r>
    </w:p>
    <w:p>
      <w:pPr>
        <w:pStyle w:val="Compact"/>
        <w:numPr>
          <w:ilvl w:val="0"/>
          <w:numId w:val="1047"/>
        </w:numPr>
      </w:pPr>
      <w:r>
        <w:t xml:space="preserve">incident response process</w:t>
      </w:r>
    </w:p>
    <w:p>
      <w:pPr>
        <w:pStyle w:val="Compact"/>
        <w:numPr>
          <w:ilvl w:val="0"/>
          <w:numId w:val="1047"/>
        </w:numPr>
      </w:pPr>
      <w:r>
        <w:t xml:space="preserve">access review cadence</w:t>
      </w:r>
    </w:p>
    <w:p>
      <w:pPr>
        <w:pStyle w:val="Compact"/>
        <w:numPr>
          <w:ilvl w:val="0"/>
          <w:numId w:val="1047"/>
        </w:numPr>
      </w:pPr>
      <w:r>
        <w:t xml:space="preserve">supplier review cadence</w:t>
      </w:r>
    </w:p>
    <w:bookmarkEnd w:id="166"/>
    <w:bookmarkStart w:id="167" w:name="j.-contract-decisions"/>
    <w:p>
      <w:pPr>
        <w:pStyle w:val="Heading2"/>
      </w:pPr>
      <w:r>
        <w:t xml:space="preserve">J. Contract decisions</w:t>
      </w:r>
    </w:p>
    <w:p>
      <w:pPr>
        <w:pStyle w:val="FirstParagraph"/>
      </w:pPr>
      <w:r>
        <w:t xml:space="preserve">Before publication, decide:</w:t>
      </w:r>
    </w:p>
    <w:p>
      <w:pPr>
        <w:pStyle w:val="Compact"/>
        <w:numPr>
          <w:ilvl w:val="0"/>
          <w:numId w:val="1048"/>
        </w:numPr>
      </w:pPr>
      <w:r>
        <w:t xml:space="preserve">liability cap amount</w:t>
      </w:r>
    </w:p>
    <w:p>
      <w:pPr>
        <w:pStyle w:val="Compact"/>
        <w:numPr>
          <w:ilvl w:val="0"/>
          <w:numId w:val="1048"/>
        </w:numPr>
      </w:pPr>
      <w:r>
        <w:t xml:space="preserve">payment terms</w:t>
      </w:r>
    </w:p>
    <w:p>
      <w:pPr>
        <w:pStyle w:val="Compact"/>
        <w:numPr>
          <w:ilvl w:val="0"/>
          <w:numId w:val="1048"/>
        </w:numPr>
      </w:pPr>
      <w:r>
        <w:t xml:space="preserve">refund position</w:t>
      </w:r>
    </w:p>
    <w:p>
      <w:pPr>
        <w:pStyle w:val="Compact"/>
        <w:numPr>
          <w:ilvl w:val="0"/>
          <w:numId w:val="1048"/>
        </w:numPr>
      </w:pPr>
      <w:r>
        <w:t xml:space="preserve">trial terms</w:t>
      </w:r>
    </w:p>
    <w:p>
      <w:pPr>
        <w:pStyle w:val="Compact"/>
        <w:numPr>
          <w:ilvl w:val="0"/>
          <w:numId w:val="1048"/>
        </w:numPr>
      </w:pPr>
      <w:r>
        <w:t xml:space="preserve">renewal terms</w:t>
      </w:r>
    </w:p>
    <w:p>
      <w:pPr>
        <w:pStyle w:val="Compact"/>
        <w:numPr>
          <w:ilvl w:val="0"/>
          <w:numId w:val="1048"/>
        </w:numPr>
      </w:pPr>
      <w:r>
        <w:t xml:space="preserve">support model</w:t>
      </w:r>
    </w:p>
    <w:p>
      <w:pPr>
        <w:pStyle w:val="Compact"/>
        <w:numPr>
          <w:ilvl w:val="0"/>
          <w:numId w:val="1048"/>
        </w:numPr>
      </w:pPr>
      <w:r>
        <w:t xml:space="preserve">service availability wording</w:t>
      </w:r>
    </w:p>
    <w:p>
      <w:pPr>
        <w:pStyle w:val="Compact"/>
        <w:numPr>
          <w:ilvl w:val="0"/>
          <w:numId w:val="1048"/>
        </w:numPr>
      </w:pPr>
      <w:r>
        <w:t xml:space="preserve">notice periods</w:t>
      </w:r>
    </w:p>
    <w:p>
      <w:pPr>
        <w:pStyle w:val="Compact"/>
        <w:numPr>
          <w:ilvl w:val="0"/>
          <w:numId w:val="1048"/>
        </w:numPr>
      </w:pPr>
      <w:r>
        <w:t xml:space="preserve">termination rights</w:t>
      </w:r>
    </w:p>
    <w:p>
      <w:pPr>
        <w:pStyle w:val="Compact"/>
        <w:numPr>
          <w:ilvl w:val="0"/>
          <w:numId w:val="1048"/>
        </w:numPr>
      </w:pPr>
      <w:r>
        <w:t xml:space="preserve">subprocessor objection period</w:t>
      </w:r>
    </w:p>
    <w:p>
      <w:pPr>
        <w:pStyle w:val="Compact"/>
        <w:numPr>
          <w:ilvl w:val="0"/>
          <w:numId w:val="1048"/>
        </w:numPr>
      </w:pPr>
      <w:r>
        <w:t xml:space="preserve">data export period after termination</w:t>
      </w:r>
    </w:p>
    <w:p>
      <w:pPr>
        <w:pStyle w:val="Compact"/>
        <w:numPr>
          <w:ilvl w:val="0"/>
          <w:numId w:val="1048"/>
        </w:numPr>
      </w:pPr>
      <w:r>
        <w:t xml:space="preserve">audit response process</w:t>
      </w:r>
    </w:p>
    <w:p>
      <w:r>
        <w:pict>
          <v:rect style="width:0;height:1.5pt" o:hralign="center" o:hrstd="t" o:hr="t"/>
        </w:pict>
      </w:r>
    </w:p>
    <w:bookmarkEnd w:id="167"/>
    <w:bookmarkEnd w:id="168"/>
    <w:bookmarkStart w:id="169" w:name="publication-checklist"/>
    <w:p>
      <w:pPr>
        <w:pStyle w:val="Heading1"/>
      </w:pPr>
      <w:r>
        <w:t xml:space="preserve">11. Publication Checklist</w:t>
      </w:r>
    </w:p>
    <w:p>
      <w:pPr>
        <w:pStyle w:val="FirstParagraph"/>
      </w:pPr>
      <w:r>
        <w:t xml:space="preserve">Before publishing the legal hub:</w:t>
      </w:r>
    </w:p>
    <w:p>
      <w:pPr>
        <w:pStyle w:val="Compact"/>
        <w:numPr>
          <w:ilvl w:val="0"/>
          <w:numId w:val="1049"/>
        </w:numPr>
      </w:pPr>
      <w:r>
        <w:t xml:space="preserve">Replace every</w:t>
      </w:r>
      <w:r>
        <w:t xml:space="preserve"> </w:t>
      </w:r>
      <w:r>
        <w:rPr>
          <w:b/>
          <w:bCs/>
        </w:rPr>
        <w:t xml:space="preserve">C/O James Todd &amp; Co Furzehall Farm, 110 Wickham Road, Fareham, Hampshire, United Kingdom, PO16 7JH</w:t>
      </w:r>
      <w:r>
        <w:t xml:space="preserve"> </w:t>
      </w:r>
      <w:r>
        <w:t xml:space="preserve">and</w:t>
      </w:r>
      <w:r>
        <w:t xml:space="preserve"> </w:t>
      </w:r>
      <w:r>
        <w:rPr>
          <w:b/>
          <w:bCs/>
        </w:rPr>
        <w:t xml:space="preserve">[confirm]</w:t>
      </w:r>
      <w:r>
        <w:t xml:space="preserve"> </w:t>
      </w:r>
      <w:r>
        <w:t xml:space="preserve">placeholder.</w:t>
      </w:r>
    </w:p>
    <w:p>
      <w:pPr>
        <w:pStyle w:val="Compact"/>
        <w:numPr>
          <w:ilvl w:val="0"/>
          <w:numId w:val="1049"/>
        </w:numPr>
      </w:pPr>
      <w:r>
        <w:t xml:space="preserve">Confirm the active technical architecture.</w:t>
      </w:r>
    </w:p>
    <w:p>
      <w:pPr>
        <w:pStyle w:val="Compact"/>
        <w:numPr>
          <w:ilvl w:val="0"/>
          <w:numId w:val="1049"/>
        </w:numPr>
      </w:pPr>
      <w:r>
        <w:t xml:space="preserve">Confirm whether Lovable and Supabase both need to be listed as active subprocessors.</w:t>
      </w:r>
    </w:p>
    <w:p>
      <w:pPr>
        <w:pStyle w:val="Compact"/>
        <w:numPr>
          <w:ilvl w:val="0"/>
          <w:numId w:val="1049"/>
        </w:numPr>
      </w:pPr>
      <w:r>
        <w:t xml:space="preserve">Confirm whether analytics or marketing cookies are active.</w:t>
      </w:r>
    </w:p>
    <w:p>
      <w:pPr>
        <w:pStyle w:val="Compact"/>
        <w:numPr>
          <w:ilvl w:val="0"/>
          <w:numId w:val="1049"/>
        </w:numPr>
      </w:pPr>
      <w:r>
        <w:t xml:space="preserve">Confirm whether Hunter.io is used by 19.2 and whether it should be referenced in the privacy notice.</w:t>
      </w:r>
    </w:p>
    <w:p>
      <w:pPr>
        <w:pStyle w:val="Compact"/>
        <w:numPr>
          <w:ilvl w:val="0"/>
          <w:numId w:val="1049"/>
        </w:numPr>
      </w:pPr>
      <w:r>
        <w:t xml:space="preserve">Confirm whether Microsoft 365, Google Workspace or both are used for customer data.</w:t>
      </w:r>
    </w:p>
    <w:p>
      <w:pPr>
        <w:pStyle w:val="Compact"/>
        <w:numPr>
          <w:ilvl w:val="0"/>
          <w:numId w:val="1049"/>
        </w:numPr>
      </w:pPr>
      <w:r>
        <w:t xml:space="preserve">Confirm whether any OpenAI or AI provider receives customer personal data.</w:t>
      </w:r>
    </w:p>
    <w:p>
      <w:pPr>
        <w:pStyle w:val="Compact"/>
        <w:numPr>
          <w:ilvl w:val="0"/>
          <w:numId w:val="1049"/>
        </w:numPr>
      </w:pPr>
      <w:r>
        <w:t xml:space="preserve">Remove any provider not actually used.</w:t>
      </w:r>
    </w:p>
    <w:p>
      <w:pPr>
        <w:pStyle w:val="Compact"/>
        <w:numPr>
          <w:ilvl w:val="0"/>
          <w:numId w:val="1049"/>
        </w:numPr>
      </w:pPr>
      <w:r>
        <w:t xml:space="preserve">Add the legal pages to the 19.2 footer.</w:t>
      </w:r>
    </w:p>
    <w:p>
      <w:pPr>
        <w:pStyle w:val="Compact"/>
        <w:numPr>
          <w:ilvl w:val="0"/>
          <w:numId w:val="1049"/>
        </w:numPr>
      </w:pPr>
      <w:r>
        <w:t xml:space="preserve">Add Privacy Notice, WAIA Terms and Subprocessors links to the WAIA login page.</w:t>
      </w:r>
    </w:p>
    <w:p>
      <w:pPr>
        <w:pStyle w:val="Compact"/>
        <w:numPr>
          <w:ilvl w:val="0"/>
          <w:numId w:val="1049"/>
        </w:numPr>
      </w:pPr>
      <w:r>
        <w:t xml:space="preserve">Add learner first-access acknowledgement wording where appropriate.</w:t>
      </w:r>
    </w:p>
    <w:p>
      <w:pPr>
        <w:pStyle w:val="Compact"/>
        <w:numPr>
          <w:ilvl w:val="0"/>
          <w:numId w:val="1049"/>
        </w:numPr>
      </w:pPr>
      <w:r>
        <w:t xml:space="preserve">Add organisation admin first-access acknowledgement wording where appropriate.</w:t>
      </w:r>
    </w:p>
    <w:p>
      <w:pPr>
        <w:pStyle w:val="Compact"/>
        <w:numPr>
          <w:ilvl w:val="0"/>
          <w:numId w:val="1049"/>
        </w:numPr>
      </w:pPr>
      <w:r>
        <w:t xml:space="preserve">Have a solicitor review Customer Terms, DPA, liability wording and transfer wording.</w:t>
      </w:r>
    </w:p>
    <w:p>
      <w:pPr>
        <w:pStyle w:val="Compact"/>
        <w:numPr>
          <w:ilvl w:val="0"/>
          <w:numId w:val="1049"/>
        </w:numPr>
      </w:pPr>
      <w:r>
        <w:t xml:space="preserve">Version the documents and keep a changelog.</w:t>
      </w:r>
    </w:p>
    <w:p>
      <w:r>
        <w:pict>
          <v:rect style="width:0;height:1.5pt" o:hralign="center" o:hrstd="t" o:hr="t"/>
        </w:pict>
      </w:r>
    </w:p>
    <w:bookmarkEnd w:id="169"/>
    <w:bookmarkStart w:id="173" w:name="suggested-footer-links"/>
    <w:p>
      <w:pPr>
        <w:pStyle w:val="Heading1"/>
      </w:pPr>
      <w:r>
        <w:t xml:space="preserve">12. Suggested Footer Links</w:t>
      </w:r>
    </w:p>
    <w:bookmarkStart w:id="170" w:name="main-19.2-website-footer"/>
    <w:p>
      <w:pPr>
        <w:pStyle w:val="Heading2"/>
      </w:pPr>
      <w:r>
        <w:t xml:space="preserve">Main 19.2 website footer</w:t>
      </w:r>
    </w:p>
    <w:p>
      <w:pPr>
        <w:pStyle w:val="Compact"/>
        <w:numPr>
          <w:ilvl w:val="0"/>
          <w:numId w:val="1050"/>
        </w:numPr>
      </w:pPr>
      <w:r>
        <w:t xml:space="preserve">Privacy</w:t>
      </w:r>
    </w:p>
    <w:p>
      <w:pPr>
        <w:pStyle w:val="Compact"/>
        <w:numPr>
          <w:ilvl w:val="0"/>
          <w:numId w:val="1050"/>
        </w:numPr>
      </w:pPr>
      <w:r>
        <w:t xml:space="preserve">Cookies</w:t>
      </w:r>
    </w:p>
    <w:p>
      <w:pPr>
        <w:pStyle w:val="Compact"/>
        <w:numPr>
          <w:ilvl w:val="0"/>
          <w:numId w:val="1050"/>
        </w:numPr>
      </w:pPr>
      <w:r>
        <w:t xml:space="preserve">Legal</w:t>
      </w:r>
    </w:p>
    <w:p>
      <w:pPr>
        <w:pStyle w:val="Compact"/>
        <w:numPr>
          <w:ilvl w:val="0"/>
          <w:numId w:val="1050"/>
        </w:numPr>
      </w:pPr>
      <w:r>
        <w:t xml:space="preserve">Subprocessors</w:t>
      </w:r>
    </w:p>
    <w:p>
      <w:pPr>
        <w:pStyle w:val="Compact"/>
        <w:numPr>
          <w:ilvl w:val="0"/>
          <w:numId w:val="1050"/>
        </w:numPr>
      </w:pPr>
      <w:r>
        <w:t xml:space="preserve">Contact</w:t>
      </w:r>
    </w:p>
    <w:bookmarkEnd w:id="170"/>
    <w:bookmarkStart w:id="171" w:name="waia-login-footer-1"/>
    <w:p>
      <w:pPr>
        <w:pStyle w:val="Heading2"/>
      </w:pPr>
      <w:r>
        <w:t xml:space="preserve">WAIA login footer</w:t>
      </w:r>
    </w:p>
    <w:p>
      <w:pPr>
        <w:pStyle w:val="Compact"/>
        <w:numPr>
          <w:ilvl w:val="0"/>
          <w:numId w:val="1051"/>
        </w:numPr>
      </w:pPr>
      <w:r>
        <w:t xml:space="preserve">Privacy Notice</w:t>
      </w:r>
    </w:p>
    <w:p>
      <w:pPr>
        <w:pStyle w:val="Compact"/>
        <w:numPr>
          <w:ilvl w:val="0"/>
          <w:numId w:val="1051"/>
        </w:numPr>
      </w:pPr>
      <w:r>
        <w:t xml:space="preserve">WAIA Terms</w:t>
      </w:r>
    </w:p>
    <w:p>
      <w:pPr>
        <w:pStyle w:val="Compact"/>
        <w:numPr>
          <w:ilvl w:val="0"/>
          <w:numId w:val="1051"/>
        </w:numPr>
      </w:pPr>
      <w:r>
        <w:t xml:space="preserve">Subprocessors</w:t>
      </w:r>
    </w:p>
    <w:p>
      <w:pPr>
        <w:pStyle w:val="Compact"/>
        <w:numPr>
          <w:ilvl w:val="0"/>
          <w:numId w:val="1051"/>
        </w:numPr>
      </w:pPr>
      <w:r>
        <w:t xml:space="preserve">Product and AI Use Statement</w:t>
      </w:r>
    </w:p>
    <w:bookmarkEnd w:id="171"/>
    <w:bookmarkStart w:id="172" w:name="customer-proposal-footer"/>
    <w:p>
      <w:pPr>
        <w:pStyle w:val="Heading2"/>
      </w:pPr>
      <w:r>
        <w:t xml:space="preserve">Customer proposal footer</w:t>
      </w:r>
    </w:p>
    <w:p>
      <w:pPr>
        <w:pStyle w:val="FirstParagraph"/>
      </w:pPr>
      <w:r>
        <w:t xml:space="preserve">WAIA is provided by Nineteen Point Two under the WAIA Terms of Service, Privacy Notice and Data Processing Agreement. Subprocessor information is available on request or via the published subprocessor list.</w:t>
      </w:r>
    </w:p>
    <w:p>
      <w:r>
        <w:pict>
          <v:rect style="width:0;height:1.5pt" o:hralign="center" o:hrstd="t" o:hr="t"/>
        </w:pict>
      </w:r>
    </w:p>
    <w:bookmarkEnd w:id="172"/>
    <w:bookmarkEnd w:id="173"/>
    <w:bookmarkStart w:id="183" w:name="website-terms-of-use"/>
    <w:p>
      <w:pPr>
        <w:pStyle w:val="Heading1"/>
      </w:pPr>
      <w:r>
        <w:t xml:space="preserve">13. Website Terms of Use</w:t>
      </w:r>
    </w:p>
    <w:p>
      <w:pPr>
        <w:pStyle w:val="FirstParagraph"/>
      </w:pPr>
      <w:r>
        <w:rPr>
          <w:b/>
          <w:bCs/>
        </w:rPr>
        <w:t xml:space="preserve">Suggested route:</w:t>
      </w:r>
      <w:r>
        <w:t xml:space="preserve"> </w:t>
      </w:r>
      <w:r>
        <w:rPr>
          <w:rStyle w:val="VerbatimChar"/>
        </w:rPr>
        <w:t xml:space="preserve">/website-terms/</w:t>
      </w:r>
    </w:p>
    <w:bookmarkStart w:id="174" w:name="website-terms-of-use-1"/>
    <w:p>
      <w:pPr>
        <w:pStyle w:val="Heading2"/>
      </w:pPr>
      <w:r>
        <w:t xml:space="preserve">Website Terms of Use</w:t>
      </w:r>
    </w:p>
    <w:p>
      <w:pPr>
        <w:pStyle w:val="FirstParagraph"/>
      </w:pPr>
      <w:r>
        <w:t xml:space="preserve">These Website Terms of Use apply to your use of the Nineteen Point Two website.</w:t>
      </w:r>
    </w:p>
    <w:p>
      <w:pPr>
        <w:pStyle w:val="BodyText"/>
      </w:pPr>
      <w:r>
        <w:t xml:space="preserve">By using the website, you agree to use it lawfully and in line with these terms.</w:t>
      </w:r>
    </w:p>
    <w:bookmarkEnd w:id="174"/>
    <w:bookmarkStart w:id="175" w:name="who-we-are-1"/>
    <w:p>
      <w:pPr>
        <w:pStyle w:val="Heading2"/>
      </w:pPr>
      <w:r>
        <w:t xml:space="preserve">1. Who we are</w:t>
      </w:r>
    </w:p>
    <w:p>
      <w:pPr>
        <w:pStyle w:val="FirstParagraph"/>
      </w:pPr>
      <w:r>
        <w:t xml:space="preserve">This website is operated by Nineteen Point Two.</w:t>
      </w:r>
    </w:p>
    <w:p>
      <w:pPr>
        <w:pStyle w:val="BodyText"/>
      </w:pPr>
      <w:r>
        <w:rPr>
          <w:b/>
          <w:bCs/>
        </w:rPr>
        <w:t xml:space="preserve">Legal entity:</w:t>
      </w:r>
      <w:r>
        <w:t xml:space="preserve"> </w:t>
      </w:r>
      <w:r>
        <w:t xml:space="preserve">Nineteen Point Two Limited</w:t>
      </w:r>
      <w:r>
        <w:br/>
      </w:r>
      <w:r>
        <w:rPr>
          <w:b/>
          <w:bCs/>
        </w:rPr>
        <w:t xml:space="preserve">Company number:</w:t>
      </w:r>
      <w:r>
        <w:t xml:space="preserve"> </w:t>
      </w:r>
      <w:r>
        <w:t xml:space="preserve">15905276</w:t>
      </w:r>
      <w:r>
        <w:br/>
      </w:r>
      <w:r>
        <w:rPr>
          <w:b/>
          <w:bCs/>
        </w:rPr>
        <w:t xml:space="preserve">Registered address:</w:t>
      </w:r>
      <w:r>
        <w:t xml:space="preserve"> </w:t>
      </w:r>
      <w:r>
        <w:t xml:space="preserve">C/O James Todd &amp; Co Furzehall Farm, 110 Wickham Road, Fareham, Hampshire, United Kingdom, PO16 7JH</w:t>
      </w:r>
      <w:r>
        <w:br/>
      </w:r>
      <w:r>
        <w:rPr>
          <w:b/>
          <w:bCs/>
        </w:rPr>
        <w:t xml:space="preserve">Contact:</w:t>
      </w:r>
      <w:r>
        <w:t xml:space="preserve"> </w:t>
      </w:r>
      <w:r>
        <w:t xml:space="preserve">ben@nineteenpointtwo.com</w:t>
      </w:r>
    </w:p>
    <w:bookmarkEnd w:id="175"/>
    <w:bookmarkStart w:id="176" w:name="website-content"/>
    <w:p>
      <w:pPr>
        <w:pStyle w:val="Heading2"/>
      </w:pPr>
      <w:r>
        <w:t xml:space="preserve">2. Website content</w:t>
      </w:r>
    </w:p>
    <w:p>
      <w:pPr>
        <w:pStyle w:val="FirstParagraph"/>
      </w:pPr>
      <w:r>
        <w:t xml:space="preserve">The content on this website is provided for general business information only.</w:t>
      </w:r>
    </w:p>
    <w:p>
      <w:pPr>
        <w:pStyle w:val="BodyText"/>
      </w:pPr>
      <w:r>
        <w:t xml:space="preserve">It does not constitute legal, financial, HR, regulatory, security or professional advice. You should obtain appropriate professional advice before relying on any information for a specific decision.</w:t>
      </w:r>
    </w:p>
    <w:bookmarkEnd w:id="176"/>
    <w:bookmarkStart w:id="177" w:name="intellectual-property"/>
    <w:p>
      <w:pPr>
        <w:pStyle w:val="Heading2"/>
      </w:pPr>
      <w:r>
        <w:t xml:space="preserve">3. Intellectual property</w:t>
      </w:r>
    </w:p>
    <w:p>
      <w:pPr>
        <w:pStyle w:val="FirstParagraph"/>
      </w:pPr>
      <w:r>
        <w:t xml:space="preserve">Unless otherwise stated, Nineteen Point Two owns or licenses the content, design, structure, copy, frameworks, graphics and materials on this website.</w:t>
      </w:r>
    </w:p>
    <w:p>
      <w:pPr>
        <w:pStyle w:val="BodyText"/>
      </w:pPr>
      <w:r>
        <w:t xml:space="preserve">You may view and download website content for your own internal business review, but you must not copy, reproduce, adapt, republish, sell or commercially exploit it without written permission.</w:t>
      </w:r>
    </w:p>
    <w:bookmarkEnd w:id="177"/>
    <w:bookmarkStart w:id="178" w:name="acceptable-use-1"/>
    <w:p>
      <w:pPr>
        <w:pStyle w:val="Heading2"/>
      </w:pPr>
      <w:r>
        <w:t xml:space="preserve">4. Acceptable use</w:t>
      </w:r>
    </w:p>
    <w:p>
      <w:pPr>
        <w:pStyle w:val="FirstParagraph"/>
      </w:pPr>
      <w:r>
        <w:t xml:space="preserve">You must not:</w:t>
      </w:r>
    </w:p>
    <w:p>
      <w:pPr>
        <w:pStyle w:val="Compact"/>
        <w:numPr>
          <w:ilvl w:val="0"/>
          <w:numId w:val="1052"/>
        </w:numPr>
      </w:pPr>
      <w:r>
        <w:t xml:space="preserve">use the website unlawfully</w:t>
      </w:r>
    </w:p>
    <w:p>
      <w:pPr>
        <w:pStyle w:val="Compact"/>
        <w:numPr>
          <w:ilvl w:val="0"/>
          <w:numId w:val="1052"/>
        </w:numPr>
      </w:pPr>
      <w:r>
        <w:t xml:space="preserve">attempt to gain unauthorised access</w:t>
      </w:r>
    </w:p>
    <w:p>
      <w:pPr>
        <w:pStyle w:val="Compact"/>
        <w:numPr>
          <w:ilvl w:val="0"/>
          <w:numId w:val="1052"/>
        </w:numPr>
      </w:pPr>
      <w:r>
        <w:t xml:space="preserve">interfere with security or availability</w:t>
      </w:r>
    </w:p>
    <w:p>
      <w:pPr>
        <w:pStyle w:val="Compact"/>
        <w:numPr>
          <w:ilvl w:val="0"/>
          <w:numId w:val="1052"/>
        </w:numPr>
      </w:pPr>
      <w:r>
        <w:t xml:space="preserve">introduce malware or harmful code</w:t>
      </w:r>
    </w:p>
    <w:p>
      <w:pPr>
        <w:pStyle w:val="Compact"/>
        <w:numPr>
          <w:ilvl w:val="0"/>
          <w:numId w:val="1052"/>
        </w:numPr>
      </w:pPr>
      <w:r>
        <w:t xml:space="preserve">scrape or harvest content at scale</w:t>
      </w:r>
    </w:p>
    <w:p>
      <w:pPr>
        <w:pStyle w:val="Compact"/>
        <w:numPr>
          <w:ilvl w:val="0"/>
          <w:numId w:val="1052"/>
        </w:numPr>
      </w:pPr>
      <w:r>
        <w:t xml:space="preserve">misrepresent your relationship with Nineteen Point Two</w:t>
      </w:r>
    </w:p>
    <w:p>
      <w:pPr>
        <w:pStyle w:val="Compact"/>
        <w:numPr>
          <w:ilvl w:val="0"/>
          <w:numId w:val="1052"/>
        </w:numPr>
      </w:pPr>
      <w:r>
        <w:t xml:space="preserve">use the website to infringe third-party rights</w:t>
      </w:r>
    </w:p>
    <w:bookmarkEnd w:id="178"/>
    <w:bookmarkStart w:id="179" w:name="links-to-other-websites"/>
    <w:p>
      <w:pPr>
        <w:pStyle w:val="Heading2"/>
      </w:pPr>
      <w:r>
        <w:t xml:space="preserve">5. Links to other websites</w:t>
      </w:r>
    </w:p>
    <w:p>
      <w:pPr>
        <w:pStyle w:val="FirstParagraph"/>
      </w:pPr>
      <w:r>
        <w:t xml:space="preserve">This website may contain links to third-party websites. These links are provided for convenience only. Nineteen Point Two is not responsible for the content, security, privacy practices or availability of third-party websites.</w:t>
      </w:r>
    </w:p>
    <w:bookmarkEnd w:id="179"/>
    <w:bookmarkStart w:id="180" w:name="availability"/>
    <w:p>
      <w:pPr>
        <w:pStyle w:val="Heading2"/>
      </w:pPr>
      <w:r>
        <w:t xml:space="preserve">6. Availability</w:t>
      </w:r>
    </w:p>
    <w:p>
      <w:pPr>
        <w:pStyle w:val="FirstParagraph"/>
      </w:pPr>
      <w:r>
        <w:t xml:space="preserve">We aim to keep the website available, but we do not guarantee uninterrupted or error-free access.</w:t>
      </w:r>
    </w:p>
    <w:p>
      <w:pPr>
        <w:pStyle w:val="BodyText"/>
      </w:pPr>
      <w:r>
        <w:t xml:space="preserve">We may update, suspend or remove website content at any time.</w:t>
      </w:r>
    </w:p>
    <w:bookmarkEnd w:id="180"/>
    <w:bookmarkStart w:id="181" w:name="liability-1"/>
    <w:p>
      <w:pPr>
        <w:pStyle w:val="Heading2"/>
      </w:pPr>
      <w:r>
        <w:t xml:space="preserve">7. Liability</w:t>
      </w:r>
    </w:p>
    <w:p>
      <w:pPr>
        <w:pStyle w:val="FirstParagraph"/>
      </w:pPr>
      <w:r>
        <w:t xml:space="preserve">To the fullest extent permitted by law, Nineteen Point Two is not liable for loss arising from use of, or reliance on, website content.</w:t>
      </w:r>
    </w:p>
    <w:p>
      <w:pPr>
        <w:pStyle w:val="BodyText"/>
      </w:pPr>
      <w:r>
        <w:t xml:space="preserve">Nothing in these terms limits liability that cannot lawfully be limited or excluded.</w:t>
      </w:r>
    </w:p>
    <w:bookmarkEnd w:id="181"/>
    <w:bookmarkStart w:id="182" w:name="governing-law"/>
    <w:p>
      <w:pPr>
        <w:pStyle w:val="Heading2"/>
      </w:pPr>
      <w:r>
        <w:t xml:space="preserve">8. Governing law</w:t>
      </w:r>
    </w:p>
    <w:p>
      <w:pPr>
        <w:pStyle w:val="FirstParagraph"/>
      </w:pPr>
      <w:r>
        <w:t xml:space="preserve">These terms are governed by the laws of England and Wales.</w:t>
      </w:r>
    </w:p>
    <w:p>
      <w:pPr>
        <w:pStyle w:val="BodyText"/>
      </w:pPr>
      <w:r>
        <w:t xml:space="preserve">The courts of England and Wales will have exclusive jurisdiction.</w:t>
      </w:r>
    </w:p>
    <w:p>
      <w:r>
        <w:pict>
          <v:rect style="width:0;height:1.5pt" o:hralign="center" o:hrstd="t" o:hr="t"/>
        </w:pict>
      </w:r>
    </w:p>
    <w:bookmarkEnd w:id="182"/>
    <w:bookmarkEnd w:id="183"/>
    <w:bookmarkStart w:id="197" w:name="security-summary"/>
    <w:p>
      <w:pPr>
        <w:pStyle w:val="Heading1"/>
      </w:pPr>
      <w:r>
        <w:t xml:space="preserve">14. Security Summary</w:t>
      </w:r>
    </w:p>
    <w:p>
      <w:pPr>
        <w:pStyle w:val="FirstParagraph"/>
      </w:pPr>
      <w:r>
        <w:rPr>
          <w:b/>
          <w:bCs/>
        </w:rPr>
        <w:t xml:space="preserve">Suggested route:</w:t>
      </w:r>
      <w:r>
        <w:t xml:space="preserve"> </w:t>
      </w:r>
      <w:r>
        <w:rPr>
          <w:rStyle w:val="VerbatimChar"/>
        </w:rPr>
        <w:t xml:space="preserve">/security/</w:t>
      </w:r>
      <w:r>
        <w:t xml:space="preserve"> </w:t>
      </w:r>
      <w:r>
        <w:t xml:space="preserve">or available on request during procurement.</w:t>
      </w:r>
    </w:p>
    <w:bookmarkStart w:id="184" w:name="waia-security-summary"/>
    <w:p>
      <w:pPr>
        <w:pStyle w:val="Heading2"/>
      </w:pPr>
      <w:r>
        <w:t xml:space="preserve">WAIA Security Summary</w:t>
      </w:r>
    </w:p>
    <w:p>
      <w:pPr>
        <w:pStyle w:val="FirstParagraph"/>
      </w:pPr>
      <w:r>
        <w:t xml:space="preserve">This Security Summary explains the practical measures Nineteen Point Two uses to protect WAIA and customer data.</w:t>
      </w:r>
    </w:p>
    <w:p>
      <w:pPr>
        <w:pStyle w:val="BodyText"/>
      </w:pPr>
      <w:r>
        <w:t xml:space="preserve">It is designed to provide commercial and procurement confidence. It does not represent a formal security certification.</w:t>
      </w:r>
    </w:p>
    <w:bookmarkEnd w:id="184"/>
    <w:bookmarkStart w:id="185" w:name="security-approach"/>
    <w:p>
      <w:pPr>
        <w:pStyle w:val="Heading2"/>
      </w:pPr>
      <w:r>
        <w:t xml:space="preserve">1. Security approach</w:t>
      </w:r>
    </w:p>
    <w:p>
      <w:pPr>
        <w:pStyle w:val="FirstParagraph"/>
      </w:pPr>
      <w:r>
        <w:t xml:space="preserve">WAIA is designed around controlled access, role-based permissions, supplier-backed infrastructure and proportionate operational security.</w:t>
      </w:r>
    </w:p>
    <w:p>
      <w:pPr>
        <w:pStyle w:val="BodyText"/>
      </w:pPr>
      <w:r>
        <w:t xml:space="preserve">The platform is intended to process ordinary workplace learning and adoption data. It is not intended to process special category data, highly sensitive HR casework, medical records, disciplinary records, financial account information or national identifiers.</w:t>
      </w:r>
    </w:p>
    <w:bookmarkEnd w:id="185"/>
    <w:bookmarkStart w:id="186" w:name="access-controls"/>
    <w:p>
      <w:pPr>
        <w:pStyle w:val="Heading2"/>
      </w:pPr>
      <w:r>
        <w:t xml:space="preserve">2. Access controls</w:t>
      </w:r>
    </w:p>
    <w:p>
      <w:pPr>
        <w:pStyle w:val="FirstParagraph"/>
      </w:pPr>
      <w:r>
        <w:t xml:space="preserve">WAIA uses role-based access controls. Typical roles include:</w:t>
      </w:r>
    </w:p>
    <w:p>
      <w:pPr>
        <w:pStyle w:val="Compact"/>
        <w:numPr>
          <w:ilvl w:val="0"/>
          <w:numId w:val="1053"/>
        </w:numPr>
      </w:pPr>
      <w:r>
        <w:t xml:space="preserve">platform administrator</w:t>
      </w:r>
    </w:p>
    <w:p>
      <w:pPr>
        <w:pStyle w:val="Compact"/>
        <w:numPr>
          <w:ilvl w:val="0"/>
          <w:numId w:val="1053"/>
        </w:numPr>
      </w:pPr>
      <w:r>
        <w:t xml:space="preserve">organisation administrator</w:t>
      </w:r>
    </w:p>
    <w:p>
      <w:pPr>
        <w:pStyle w:val="Compact"/>
        <w:numPr>
          <w:ilvl w:val="0"/>
          <w:numId w:val="1053"/>
        </w:numPr>
      </w:pPr>
      <w:r>
        <w:t xml:space="preserve">learner</w:t>
      </w:r>
    </w:p>
    <w:p>
      <w:pPr>
        <w:pStyle w:val="FirstParagraph"/>
      </w:pPr>
      <w:r>
        <w:t xml:space="preserve">Organisation administrators should only see users, settings, guidance and reporting connected to their own organisation.</w:t>
      </w:r>
    </w:p>
    <w:p>
      <w:pPr>
        <w:pStyle w:val="BodyText"/>
      </w:pPr>
      <w:r>
        <w:t xml:space="preserve">Platform administrator access should be restricted to authorised Nineteen Point Two personnel and used only where necessary to operate, support or secure the service.</w:t>
      </w:r>
    </w:p>
    <w:bookmarkEnd w:id="186"/>
    <w:bookmarkStart w:id="187" w:name="authentication"/>
    <w:p>
      <w:pPr>
        <w:pStyle w:val="Heading2"/>
      </w:pPr>
      <w:r>
        <w:t xml:space="preserve">3. Authentication</w:t>
      </w:r>
    </w:p>
    <w:p>
      <w:pPr>
        <w:pStyle w:val="FirstParagraph"/>
      </w:pPr>
      <w:r>
        <w:t xml:space="preserve">WAIA uses authentication services provided through its configured platform and infrastructure providers.</w:t>
      </w:r>
    </w:p>
    <w:p>
      <w:pPr>
        <w:pStyle w:val="BodyText"/>
      </w:pPr>
      <w:r>
        <w:t xml:space="preserve">Authentication configuration should be reviewed regularly to confirm:</w:t>
      </w:r>
    </w:p>
    <w:p>
      <w:pPr>
        <w:pStyle w:val="Compact"/>
        <w:numPr>
          <w:ilvl w:val="0"/>
          <w:numId w:val="1054"/>
        </w:numPr>
      </w:pPr>
      <w:r>
        <w:t xml:space="preserve">only authorised users can access WAIA</w:t>
      </w:r>
    </w:p>
    <w:p>
      <w:pPr>
        <w:pStyle w:val="Compact"/>
        <w:numPr>
          <w:ilvl w:val="0"/>
          <w:numId w:val="1054"/>
        </w:numPr>
      </w:pPr>
      <w:r>
        <w:t xml:space="preserve">administrator access is limited</w:t>
      </w:r>
    </w:p>
    <w:p>
      <w:pPr>
        <w:pStyle w:val="Compact"/>
        <w:numPr>
          <w:ilvl w:val="0"/>
          <w:numId w:val="1054"/>
        </w:numPr>
      </w:pPr>
      <w:r>
        <w:t xml:space="preserve">inactive users can be removed</w:t>
      </w:r>
    </w:p>
    <w:p>
      <w:pPr>
        <w:pStyle w:val="Compact"/>
        <w:numPr>
          <w:ilvl w:val="0"/>
          <w:numId w:val="1054"/>
        </w:numPr>
      </w:pPr>
      <w:r>
        <w:t xml:space="preserve">access is revoked when no longer required</w:t>
      </w:r>
    </w:p>
    <w:p>
      <w:pPr>
        <w:pStyle w:val="Compact"/>
        <w:numPr>
          <w:ilvl w:val="0"/>
          <w:numId w:val="1054"/>
        </w:numPr>
      </w:pPr>
      <w:r>
        <w:t xml:space="preserve">production credentials are not exposed in code or public repositories</w:t>
      </w:r>
    </w:p>
    <w:bookmarkEnd w:id="187"/>
    <w:bookmarkStart w:id="188" w:name="data-segregation"/>
    <w:p>
      <w:pPr>
        <w:pStyle w:val="Heading2"/>
      </w:pPr>
      <w:r>
        <w:t xml:space="preserve">4. Data segregation</w:t>
      </w:r>
    </w:p>
    <w:p>
      <w:pPr>
        <w:pStyle w:val="FirstParagraph"/>
      </w:pPr>
      <w:r>
        <w:t xml:space="preserve">WAIA is designed as a multi-tenant platform. Customer data should be logically separated so that organisation administrators and learners access only the records appropriate to their organisation and role.</w:t>
      </w:r>
    </w:p>
    <w:p>
      <w:pPr>
        <w:pStyle w:val="BodyText"/>
      </w:pPr>
      <w:r>
        <w:t xml:space="preserve">Row-level security and database access rules should be maintained and tested where supported by the database provider.</w:t>
      </w:r>
    </w:p>
    <w:bookmarkEnd w:id="188"/>
    <w:bookmarkStart w:id="189" w:name="infrastructure"/>
    <w:p>
      <w:pPr>
        <w:pStyle w:val="Heading2"/>
      </w:pPr>
      <w:r>
        <w:t xml:space="preserve">5. Infrastructure</w:t>
      </w:r>
    </w:p>
    <w:p>
      <w:pPr>
        <w:pStyle w:val="FirstParagraph"/>
      </w:pPr>
      <w:r>
        <w:t xml:space="preserve">WAIA uses third-party infrastructure providers for application hosting, database, authentication, storage, deployment and related services.</w:t>
      </w:r>
    </w:p>
    <w:p>
      <w:pPr>
        <w:pStyle w:val="BodyText"/>
      </w:pPr>
      <w:r>
        <w:t xml:space="preserve">Current providers may include Lovable, Supabase, GitHub and Cloudflare, subject to the current deployment configuration.</w:t>
      </w:r>
    </w:p>
    <w:p>
      <w:pPr>
        <w:pStyle w:val="BodyText"/>
      </w:pPr>
      <w:r>
        <w:t xml:space="preserve">Nineteen Point Two relies on these providers for parts of the underlying security model, including physical security, core infrastructure security, encryption capabilities and service availability.</w:t>
      </w:r>
    </w:p>
    <w:bookmarkEnd w:id="189"/>
    <w:bookmarkStart w:id="190" w:name="encryption"/>
    <w:p>
      <w:pPr>
        <w:pStyle w:val="Heading2"/>
      </w:pPr>
      <w:r>
        <w:t xml:space="preserve">6. Encryption</w:t>
      </w:r>
    </w:p>
    <w:p>
      <w:pPr>
        <w:pStyle w:val="FirstParagraph"/>
      </w:pPr>
      <w:r>
        <w:t xml:space="preserve">WAIA should use HTTPS for data in transit.</w:t>
      </w:r>
    </w:p>
    <w:p>
      <w:pPr>
        <w:pStyle w:val="BodyText"/>
      </w:pPr>
      <w:r>
        <w:t xml:space="preserve">Encryption at rest depends on the relevant hosting, database and storage providers. Provider documentation should be retained for procurement review.</w:t>
      </w:r>
    </w:p>
    <w:bookmarkEnd w:id="190"/>
    <w:bookmarkStart w:id="191" w:name="logging-and-monitoring"/>
    <w:p>
      <w:pPr>
        <w:pStyle w:val="Heading2"/>
      </w:pPr>
      <w:r>
        <w:t xml:space="preserve">7. Logging and monitoring</w:t>
      </w:r>
    </w:p>
    <w:p>
      <w:pPr>
        <w:pStyle w:val="FirstParagraph"/>
      </w:pPr>
      <w:r>
        <w:t xml:space="preserve">WAIA and its providers may generate technical logs for security, troubleshooting, reliability and performance.</w:t>
      </w:r>
    </w:p>
    <w:p>
      <w:pPr>
        <w:pStyle w:val="BodyText"/>
      </w:pPr>
      <w:r>
        <w:t xml:space="preserve">Logs may include IP addresses, user identifiers, device information, timestamps, error details and request metadata.</w:t>
      </w:r>
    </w:p>
    <w:p>
      <w:pPr>
        <w:pStyle w:val="BodyText"/>
      </w:pPr>
      <w:r>
        <w:t xml:space="preserve">Log access should be limited to authorised personnel and retained only as long as reasonably required.</w:t>
      </w:r>
    </w:p>
    <w:bookmarkEnd w:id="191"/>
    <w:bookmarkStart w:id="192" w:name="backups-and-recovery"/>
    <w:p>
      <w:pPr>
        <w:pStyle w:val="Heading2"/>
      </w:pPr>
      <w:r>
        <w:t xml:space="preserve">8. Backups and recovery</w:t>
      </w:r>
    </w:p>
    <w:p>
      <w:pPr>
        <w:pStyle w:val="FirstParagraph"/>
      </w:pPr>
      <w:r>
        <w:t xml:space="preserve">Backup and recovery arrangements depend on the configured infrastructure providers.</w:t>
      </w:r>
    </w:p>
    <w:p>
      <w:pPr>
        <w:pStyle w:val="BodyText"/>
      </w:pPr>
      <w:r>
        <w:t xml:space="preserve">Nineteen Point Two should confirm and document:</w:t>
      </w:r>
    </w:p>
    <w:p>
      <w:pPr>
        <w:pStyle w:val="Compact"/>
        <w:numPr>
          <w:ilvl w:val="0"/>
          <w:numId w:val="1055"/>
        </w:numPr>
      </w:pPr>
      <w:r>
        <w:t xml:space="preserve">whether production data is backed up</w:t>
      </w:r>
    </w:p>
    <w:p>
      <w:pPr>
        <w:pStyle w:val="Compact"/>
        <w:numPr>
          <w:ilvl w:val="0"/>
          <w:numId w:val="1055"/>
        </w:numPr>
      </w:pPr>
      <w:r>
        <w:t xml:space="preserve">backup frequency</w:t>
      </w:r>
    </w:p>
    <w:p>
      <w:pPr>
        <w:pStyle w:val="Compact"/>
        <w:numPr>
          <w:ilvl w:val="0"/>
          <w:numId w:val="1055"/>
        </w:numPr>
      </w:pPr>
      <w:r>
        <w:t xml:space="preserve">backup retention</w:t>
      </w:r>
    </w:p>
    <w:p>
      <w:pPr>
        <w:pStyle w:val="Compact"/>
        <w:numPr>
          <w:ilvl w:val="0"/>
          <w:numId w:val="1055"/>
        </w:numPr>
      </w:pPr>
      <w:r>
        <w:t xml:space="preserve">restore process</w:t>
      </w:r>
    </w:p>
    <w:p>
      <w:pPr>
        <w:pStyle w:val="Compact"/>
        <w:numPr>
          <w:ilvl w:val="0"/>
          <w:numId w:val="1055"/>
        </w:numPr>
      </w:pPr>
      <w:r>
        <w:t xml:space="preserve">who can access backups</w:t>
      </w:r>
    </w:p>
    <w:p>
      <w:pPr>
        <w:pStyle w:val="Compact"/>
        <w:numPr>
          <w:ilvl w:val="0"/>
          <w:numId w:val="1055"/>
        </w:numPr>
      </w:pPr>
      <w:r>
        <w:t xml:space="preserve">how deleted data is handled in backups</w:t>
      </w:r>
    </w:p>
    <w:bookmarkEnd w:id="192"/>
    <w:bookmarkStart w:id="193" w:name="supplier-security"/>
    <w:p>
      <w:pPr>
        <w:pStyle w:val="Heading2"/>
      </w:pPr>
      <w:r>
        <w:t xml:space="preserve">9. Supplier security</w:t>
      </w:r>
    </w:p>
    <w:p>
      <w:pPr>
        <w:pStyle w:val="FirstParagraph"/>
      </w:pPr>
      <w:r>
        <w:t xml:space="preserve">Nineteen Point Two uses suppliers to operate WAIA. Suppliers that process Customer Personal Data should be covered by data processing terms or equivalent contractual commitments.</w:t>
      </w:r>
    </w:p>
    <w:p>
      <w:pPr>
        <w:pStyle w:val="BodyText"/>
      </w:pPr>
      <w:r>
        <w:t xml:space="preserve">Supplier security documentation should be reviewed and retained where available.</w:t>
      </w:r>
    </w:p>
    <w:bookmarkEnd w:id="193"/>
    <w:bookmarkStart w:id="194" w:name="incident-handling"/>
    <w:p>
      <w:pPr>
        <w:pStyle w:val="Heading2"/>
      </w:pPr>
      <w:r>
        <w:t xml:space="preserve">10. Incident handling</w:t>
      </w:r>
    </w:p>
    <w:p>
      <w:pPr>
        <w:pStyle w:val="FirstParagraph"/>
      </w:pPr>
      <w:r>
        <w:t xml:space="preserve">Nineteen Point Two will investigate suspected security incidents and take reasonable steps to contain, assess and remediate confirmed issues.</w:t>
      </w:r>
    </w:p>
    <w:p>
      <w:pPr>
        <w:pStyle w:val="BodyText"/>
      </w:pPr>
      <w:r>
        <w:t xml:space="preserve">Where a confirmed personal data breach affects Customer Personal Data, Nineteen Point Two will notify the affected customer without undue delay in line with the Data Processing Agreement.</w:t>
      </w:r>
    </w:p>
    <w:bookmarkEnd w:id="194"/>
    <w:bookmarkStart w:id="195" w:name="customer-responsibilities-2"/>
    <w:p>
      <w:pPr>
        <w:pStyle w:val="Heading2"/>
      </w:pPr>
      <w:r>
        <w:t xml:space="preserve">11. Customer responsibilities</w:t>
      </w:r>
    </w:p>
    <w:p>
      <w:pPr>
        <w:pStyle w:val="FirstParagraph"/>
      </w:pPr>
      <w:r>
        <w:t xml:space="preserve">Customers are responsible for:</w:t>
      </w:r>
    </w:p>
    <w:p>
      <w:pPr>
        <w:pStyle w:val="Compact"/>
        <w:numPr>
          <w:ilvl w:val="0"/>
          <w:numId w:val="1056"/>
        </w:numPr>
      </w:pPr>
      <w:r>
        <w:t xml:space="preserve">choosing appropriate organisation administrators</w:t>
      </w:r>
    </w:p>
    <w:p>
      <w:pPr>
        <w:pStyle w:val="Compact"/>
        <w:numPr>
          <w:ilvl w:val="0"/>
          <w:numId w:val="1056"/>
        </w:numPr>
      </w:pPr>
      <w:r>
        <w:t xml:space="preserve">removing users who no longer need access</w:t>
      </w:r>
    </w:p>
    <w:p>
      <w:pPr>
        <w:pStyle w:val="Compact"/>
        <w:numPr>
          <w:ilvl w:val="0"/>
          <w:numId w:val="1056"/>
        </w:numPr>
      </w:pPr>
      <w:r>
        <w:t xml:space="preserve">keeping login credentials secure</w:t>
      </w:r>
    </w:p>
    <w:p>
      <w:pPr>
        <w:pStyle w:val="Compact"/>
        <w:numPr>
          <w:ilvl w:val="0"/>
          <w:numId w:val="1056"/>
        </w:numPr>
      </w:pPr>
      <w:r>
        <w:t xml:space="preserve">using WAIA in line with internal policies</w:t>
      </w:r>
    </w:p>
    <w:p>
      <w:pPr>
        <w:pStyle w:val="Compact"/>
        <w:numPr>
          <w:ilvl w:val="0"/>
          <w:numId w:val="1056"/>
        </w:numPr>
      </w:pPr>
      <w:r>
        <w:t xml:space="preserve">avoiding upload of unnecessary sensitive data</w:t>
      </w:r>
    </w:p>
    <w:p>
      <w:pPr>
        <w:pStyle w:val="Compact"/>
        <w:numPr>
          <w:ilvl w:val="0"/>
          <w:numId w:val="1056"/>
        </w:numPr>
      </w:pPr>
      <w:r>
        <w:t xml:space="preserve">deciding how WAIA records are used internally</w:t>
      </w:r>
    </w:p>
    <w:bookmarkEnd w:id="195"/>
    <w:bookmarkStart w:id="196" w:name="security-contact"/>
    <w:p>
      <w:pPr>
        <w:pStyle w:val="Heading2"/>
      </w:pPr>
      <w:r>
        <w:t xml:space="preserve">12. Security contact</w:t>
      </w:r>
    </w:p>
    <w:p>
      <w:pPr>
        <w:pStyle w:val="FirstParagraph"/>
      </w:pPr>
      <w:r>
        <w:t xml:space="preserve">For security questions, contact</w:t>
      </w:r>
      <w:r>
        <w:t xml:space="preserve"> </w:t>
      </w:r>
      <w:r>
        <w:rPr>
          <w:b/>
          <w:bCs/>
        </w:rPr>
        <w:t xml:space="preserve">ben@nineteenpointtwo.com</w:t>
      </w:r>
      <w:r>
        <w:t xml:space="preserve">.</w:t>
      </w:r>
    </w:p>
    <w:p>
      <w:r>
        <w:pict>
          <v:rect style="width:0;height:1.5pt" o:hralign="center" o:hrstd="t" o:hr="t"/>
        </w:pict>
      </w:r>
    </w:p>
    <w:bookmarkEnd w:id="196"/>
    <w:bookmarkEnd w:id="197"/>
    <w:bookmarkStart w:id="205" w:name="data-retention-and-deletion-policy"/>
    <w:p>
      <w:pPr>
        <w:pStyle w:val="Heading1"/>
      </w:pPr>
      <w:r>
        <w:t xml:space="preserve">15. Data Retention and Deletion Policy</w:t>
      </w:r>
    </w:p>
    <w:p>
      <w:pPr>
        <w:pStyle w:val="FirstParagraph"/>
      </w:pPr>
      <w:r>
        <w:rPr>
          <w:b/>
          <w:bCs/>
        </w:rPr>
        <w:t xml:space="preserve">Suggested route:</w:t>
      </w:r>
      <w:r>
        <w:t xml:space="preserve"> </w:t>
      </w:r>
      <w:r>
        <w:t xml:space="preserve">internal policy, or</w:t>
      </w:r>
      <w:r>
        <w:t xml:space="preserve"> </w:t>
      </w:r>
      <w:r>
        <w:rPr>
          <w:rStyle w:val="VerbatimChar"/>
        </w:rPr>
        <w:t xml:space="preserve">/data-retention/</w:t>
      </w:r>
      <w:r>
        <w:t xml:space="preserve"> </w:t>
      </w:r>
      <w:r>
        <w:t xml:space="preserve">if you want a public-facing version.</w:t>
      </w:r>
    </w:p>
    <w:bookmarkStart w:id="198" w:name="data-retention-and-deletion-policy-1"/>
    <w:p>
      <w:pPr>
        <w:pStyle w:val="Heading2"/>
      </w:pPr>
      <w:r>
        <w:t xml:space="preserve">Data Retention and Deletion Policy</w:t>
      </w:r>
    </w:p>
    <w:p>
      <w:pPr>
        <w:pStyle w:val="FirstParagraph"/>
      </w:pPr>
      <w:r>
        <w:t xml:space="preserve">This policy explains how Nineteen Point Two approaches retention and deletion of data across WAIA and related business operations.</w:t>
      </w:r>
    </w:p>
    <w:bookmarkEnd w:id="198"/>
    <w:bookmarkStart w:id="199" w:name="principles"/>
    <w:p>
      <w:pPr>
        <w:pStyle w:val="Heading2"/>
      </w:pPr>
      <w:r>
        <w:t xml:space="preserve">1. Principles</w:t>
      </w:r>
    </w:p>
    <w:p>
      <w:pPr>
        <w:pStyle w:val="FirstParagraph"/>
      </w:pPr>
      <w:r>
        <w:t xml:space="preserve">Nineteen Point Two aims to:</w:t>
      </w:r>
    </w:p>
    <w:p>
      <w:pPr>
        <w:pStyle w:val="Compact"/>
        <w:numPr>
          <w:ilvl w:val="0"/>
          <w:numId w:val="1057"/>
        </w:numPr>
      </w:pPr>
      <w:r>
        <w:t xml:space="preserve">keep personal data only for as long as needed</w:t>
      </w:r>
    </w:p>
    <w:p>
      <w:pPr>
        <w:pStyle w:val="Compact"/>
        <w:numPr>
          <w:ilvl w:val="0"/>
          <w:numId w:val="1057"/>
        </w:numPr>
      </w:pPr>
      <w:r>
        <w:t xml:space="preserve">retain records where needed for service delivery, legal, financial, security or contractual reasons</w:t>
      </w:r>
    </w:p>
    <w:p>
      <w:pPr>
        <w:pStyle w:val="Compact"/>
        <w:numPr>
          <w:ilvl w:val="0"/>
          <w:numId w:val="1057"/>
        </w:numPr>
      </w:pPr>
      <w:r>
        <w:t xml:space="preserve">delete, anonymise or archive data when it is no longer needed</w:t>
      </w:r>
    </w:p>
    <w:p>
      <w:pPr>
        <w:pStyle w:val="Compact"/>
        <w:numPr>
          <w:ilvl w:val="0"/>
          <w:numId w:val="1057"/>
        </w:numPr>
      </w:pPr>
      <w:r>
        <w:t xml:space="preserve">avoid collecting unnecessary sensitive personal data</w:t>
      </w:r>
    </w:p>
    <w:p>
      <w:pPr>
        <w:pStyle w:val="Compact"/>
        <w:numPr>
          <w:ilvl w:val="0"/>
          <w:numId w:val="1057"/>
        </w:numPr>
      </w:pPr>
      <w:r>
        <w:t xml:space="preserve">honour customer deletion and export obligations where Nineteen Point Two acts as processor</w:t>
      </w:r>
    </w:p>
    <w:bookmarkEnd w:id="199"/>
    <w:bookmarkStart w:id="200" w:name="retention-schedule"/>
    <w:p>
      <w:pPr>
        <w:pStyle w:val="Heading2"/>
      </w:pPr>
      <w:r>
        <w:t xml:space="preserve">2. Retention schedule</w:t>
      </w:r>
    </w:p>
    <w:p>
      <w:pPr>
        <w:pStyle w:val="FirstParagraph"/>
      </w:pPr>
      <w:r>
        <w:t xml:space="preserve">Default position for ease of management:</w:t>
      </w:r>
    </w:p>
    <w:p>
      <w:pPr>
        <w:pStyle w:val="Compact"/>
        <w:numPr>
          <w:ilvl w:val="0"/>
          <w:numId w:val="1058"/>
        </w:numPr>
      </w:pPr>
      <w:r>
        <w:t xml:space="preserve">Active customer learner records are retained during the customer agreement.</w:t>
      </w:r>
    </w:p>
    <w:p>
      <w:pPr>
        <w:pStyle w:val="Compact"/>
        <w:numPr>
          <w:ilvl w:val="0"/>
          <w:numId w:val="1058"/>
        </w:numPr>
      </w:pPr>
      <w:r>
        <w:t xml:space="preserve">Trial or pilot data is deleted or anonymised within 90 days after the trial ends unless the customer converts or a longer period is agreed.</w:t>
      </w:r>
    </w:p>
    <w:p>
      <w:pPr>
        <w:pStyle w:val="Compact"/>
        <w:numPr>
          <w:ilvl w:val="0"/>
          <w:numId w:val="1058"/>
        </w:numPr>
      </w:pPr>
      <w:r>
        <w:t xml:space="preserve">Learner progress, completion, guidance acknowledgement and certificate records are retained during the customer agreement and for up to 12 months after contract end unless the customer requests earlier deletion or longer retention is agreed.</w:t>
      </w:r>
    </w:p>
    <w:p>
      <w:pPr>
        <w:pStyle w:val="Compact"/>
        <w:numPr>
          <w:ilvl w:val="0"/>
          <w:numId w:val="1058"/>
        </w:numPr>
      </w:pPr>
      <w:r>
        <w:t xml:space="preserve">Customer contacts, support correspondence and business records are generally retained for up to 24 months after the relationship ends unless needed longer for legal, accounting, security or dispute purposes.</w:t>
      </w:r>
    </w:p>
    <w:p>
      <w:pPr>
        <w:pStyle w:val="Compact"/>
        <w:numPr>
          <w:ilvl w:val="0"/>
          <w:numId w:val="1058"/>
        </w:numPr>
      </w:pPr>
      <w:r>
        <w:t xml:space="preserve">Contracts, invoices and accounting records are retained for 6 years or any longer period required by law.</w:t>
      </w:r>
    </w:p>
    <w:p>
      <w:pPr>
        <w:pStyle w:val="Compact"/>
        <w:numPr>
          <w:ilvl w:val="0"/>
          <w:numId w:val="1058"/>
        </w:numPr>
      </w:pPr>
      <w:r>
        <w:t xml:space="preserve">Technical logs are retained for 90 to 180 days unless needed for security, troubleshooting or incident investigation.</w:t>
      </w:r>
    </w:p>
    <w:p>
      <w:pPr>
        <w:pStyle w:val="Compact"/>
        <w:numPr>
          <w:ilvl w:val="0"/>
          <w:numId w:val="1058"/>
        </w:numPr>
      </w:pPr>
      <w:r>
        <w:t xml:space="preserve">Backups are retained and deleted according to the relevant provider backup lifecycle.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 category</w:t>
            </w:r>
          </w:p>
        </w:tc>
        <w:tc>
          <w:tcPr/>
          <w:p>
            <w:pPr>
              <w:pStyle w:val="Compact"/>
            </w:pPr>
            <w:r>
              <w:t xml:space="preserve">Suggested retention approach</w:t>
            </w:r>
          </w:p>
        </w:tc>
        <w:tc>
          <w:tcPr/>
          <w:p>
            <w:pPr>
              <w:pStyle w:val="Compact"/>
            </w:pPr>
            <w:r>
              <w:t xml:space="preserve">Owner</w:t>
            </w:r>
          </w:p>
        </w:tc>
      </w:tr>
      <w:tr>
        <w:tc>
          <w:tcPr/>
          <w:p>
            <w:pPr>
              <w:pStyle w:val="Compact"/>
            </w:pPr>
            <w:r>
              <w:t xml:space="preserve">Prospect and business development records</w:t>
            </w:r>
          </w:p>
        </w:tc>
        <w:tc>
          <w:tcPr/>
          <w:p>
            <w:pPr>
              <w:pStyle w:val="Compact"/>
            </w:pPr>
            <w:r>
              <w:t xml:space="preserve">Retain while there is a relevant business relationship or legitimate interest, unless the contact opts out or deletion is required</w:t>
            </w:r>
          </w:p>
        </w:tc>
        <w:tc>
          <w:tcPr/>
          <w:p>
            <w:pPr>
              <w:pStyle w:val="Compact"/>
            </w:pPr>
            <w:r>
              <w:t xml:space="preserve">Nineteen Point Two</w:t>
            </w:r>
          </w:p>
        </w:tc>
      </w:tr>
      <w:tr>
        <w:tc>
          <w:tcPr/>
          <w:p>
            <w:pPr>
              <w:pStyle w:val="Compact"/>
            </w:pPr>
            <w:r>
              <w:t xml:space="preserve">Marketing suppression records</w:t>
            </w:r>
          </w:p>
        </w:tc>
        <w:tc>
          <w:tcPr/>
          <w:p>
            <w:pPr>
              <w:pStyle w:val="Compact"/>
            </w:pPr>
            <w:r>
              <w:t xml:space="preserve">Retain as needed to honour opt-out requests</w:t>
            </w:r>
          </w:p>
        </w:tc>
        <w:tc>
          <w:tcPr/>
          <w:p>
            <w:pPr>
              <w:pStyle w:val="Compact"/>
            </w:pPr>
            <w:r>
              <w:t xml:space="preserve">Nineteen Point Two</w:t>
            </w:r>
          </w:p>
        </w:tc>
      </w:tr>
      <w:tr>
        <w:tc>
          <w:tcPr/>
          <w:p>
            <w:pPr>
              <w:pStyle w:val="Compact"/>
            </w:pPr>
            <w:r>
              <w:t xml:space="preserve">Customer contact records</w:t>
            </w:r>
          </w:p>
        </w:tc>
        <w:tc>
          <w:tcPr/>
          <w:p>
            <w:pPr>
              <w:pStyle w:val="Compact"/>
            </w:pPr>
            <w:r>
              <w:t xml:space="preserve">Retain during the customer relationship and for a reasonable period afterwards</w:t>
            </w:r>
          </w:p>
        </w:tc>
        <w:tc>
          <w:tcPr/>
          <w:p>
            <w:pPr>
              <w:pStyle w:val="Compact"/>
            </w:pPr>
            <w:r>
              <w:t xml:space="preserve">Nineteen Point Two</w:t>
            </w:r>
          </w:p>
        </w:tc>
      </w:tr>
      <w:tr>
        <w:tc>
          <w:tcPr/>
          <w:p>
            <w:pPr>
              <w:pStyle w:val="Compact"/>
            </w:pPr>
            <w:r>
              <w:t xml:space="preserve">Contracts and order forms</w:t>
            </w:r>
          </w:p>
        </w:tc>
        <w:tc>
          <w:tcPr/>
          <w:p>
            <w:pPr>
              <w:pStyle w:val="Compact"/>
            </w:pPr>
            <w:r>
              <w:t xml:space="preserve">Retain for the contract term plus the period needed for legal, tax and dispute purposes</w:t>
            </w:r>
          </w:p>
        </w:tc>
        <w:tc>
          <w:tcPr/>
          <w:p>
            <w:pPr>
              <w:pStyle w:val="Compact"/>
            </w:pPr>
            <w:r>
              <w:t xml:space="preserve">Nineteen Point Two</w:t>
            </w:r>
          </w:p>
        </w:tc>
      </w:tr>
      <w:tr>
        <w:tc>
          <w:tcPr/>
          <w:p>
            <w:pPr>
              <w:pStyle w:val="Compact"/>
            </w:pPr>
            <w:r>
              <w:t xml:space="preserve">Billing and accounting records</w:t>
            </w:r>
          </w:p>
        </w:tc>
        <w:tc>
          <w:tcPr/>
          <w:p>
            <w:pPr>
              <w:pStyle w:val="Compact"/>
            </w:pPr>
            <w:r>
              <w:t xml:space="preserve">Retain for the legally required accounting and tax period</w:t>
            </w:r>
          </w:p>
        </w:tc>
        <w:tc>
          <w:tcPr/>
          <w:p>
            <w:pPr>
              <w:pStyle w:val="Compact"/>
            </w:pPr>
            <w:r>
              <w:t xml:space="preserve">Nineteen Point Two</w:t>
            </w:r>
          </w:p>
        </w:tc>
      </w:tr>
      <w:tr>
        <w:tc>
          <w:tcPr/>
          <w:p>
            <w:pPr>
              <w:pStyle w:val="Compact"/>
            </w:pPr>
            <w:r>
              <w:t xml:space="preserve">WAIA learner accounts</w:t>
            </w:r>
          </w:p>
        </w:tc>
        <w:tc>
          <w:tcPr/>
          <w:p>
            <w:pPr>
              <w:pStyle w:val="Compact"/>
            </w:pPr>
            <w:r>
              <w:t xml:space="preserve">Retain during the customer agreement and any agreed post-termination period</w:t>
            </w:r>
          </w:p>
        </w:tc>
        <w:tc>
          <w:tcPr/>
          <w:p>
            <w:pPr>
              <w:pStyle w:val="Compact"/>
            </w:pPr>
            <w:r>
              <w:t xml:space="preserve">Customer as controller, 19.2 as processor</w:t>
            </w:r>
          </w:p>
        </w:tc>
      </w:tr>
      <w:tr>
        <w:tc>
          <w:tcPr/>
          <w:p>
            <w:pPr>
              <w:pStyle w:val="Compact"/>
            </w:pPr>
            <w:r>
              <w:t xml:space="preserve">WAIA progress and completion records</w:t>
            </w:r>
          </w:p>
        </w:tc>
        <w:tc>
          <w:tcPr/>
          <w:p>
            <w:pPr>
              <w:pStyle w:val="Compact"/>
            </w:pPr>
            <w:r>
              <w:t xml:space="preserve">Retain for the customer-agreed evidence period</w:t>
            </w:r>
          </w:p>
        </w:tc>
        <w:tc>
          <w:tcPr/>
          <w:p>
            <w:pPr>
              <w:pStyle w:val="Compact"/>
            </w:pPr>
            <w:r>
              <w:t xml:space="preserve">Customer as controller, 19.2 as processor</w:t>
            </w:r>
          </w:p>
        </w:tc>
      </w:tr>
      <w:tr>
        <w:tc>
          <w:tcPr/>
          <w:p>
            <w:pPr>
              <w:pStyle w:val="Compact"/>
            </w:pPr>
            <w:r>
              <w:t xml:space="preserve">WAIA guidance acknowledgement records</w:t>
            </w:r>
          </w:p>
        </w:tc>
        <w:tc>
          <w:tcPr/>
          <w:p>
            <w:pPr>
              <w:pStyle w:val="Compact"/>
            </w:pPr>
            <w:r>
              <w:t xml:space="preserve">Retain for the customer-agreed evidence period</w:t>
            </w:r>
          </w:p>
        </w:tc>
        <w:tc>
          <w:tcPr/>
          <w:p>
            <w:pPr>
              <w:pStyle w:val="Compact"/>
            </w:pPr>
            <w:r>
              <w:t xml:space="preserve">Customer as controller, 19.2 as processor</w:t>
            </w:r>
          </w:p>
        </w:tc>
      </w:tr>
      <w:tr>
        <w:tc>
          <w:tcPr/>
          <w:p>
            <w:pPr>
              <w:pStyle w:val="Compact"/>
            </w:pPr>
            <w:r>
              <w:t xml:space="preserve">Certificates and evidence records</w:t>
            </w:r>
          </w:p>
        </w:tc>
        <w:tc>
          <w:tcPr/>
          <w:p>
            <w:pPr>
              <w:pStyle w:val="Compact"/>
            </w:pPr>
            <w:r>
              <w:t xml:space="preserve">Retain for the customer-agreed evidence period</w:t>
            </w:r>
          </w:p>
        </w:tc>
        <w:tc>
          <w:tcPr/>
          <w:p>
            <w:pPr>
              <w:pStyle w:val="Compact"/>
            </w:pPr>
            <w:r>
              <w:t xml:space="preserve">Customer as controller, 19.2 as processor</w:t>
            </w:r>
          </w:p>
        </w:tc>
      </w:tr>
      <w:tr>
        <w:tc>
          <w:tcPr/>
          <w:p>
            <w:pPr>
              <w:pStyle w:val="Compact"/>
            </w:pPr>
            <w:r>
              <w:t xml:space="preserve">Support records</w:t>
            </w:r>
          </w:p>
        </w:tc>
        <w:tc>
          <w:tcPr/>
          <w:p>
            <w:pPr>
              <w:pStyle w:val="Compact"/>
            </w:pPr>
            <w:r>
              <w:t xml:space="preserve">Retain for a reasonable period for continuity, quality, security and dispute handling</w:t>
            </w:r>
          </w:p>
        </w:tc>
        <w:tc>
          <w:tcPr/>
          <w:p>
            <w:pPr>
              <w:pStyle w:val="Compact"/>
            </w:pPr>
            <w:r>
              <w:t xml:space="preserve">Nineteen Point Two or processor context depending on content</w:t>
            </w:r>
          </w:p>
        </w:tc>
      </w:tr>
      <w:tr>
        <w:tc>
          <w:tcPr/>
          <w:p>
            <w:pPr>
              <w:pStyle w:val="Compact"/>
            </w:pPr>
            <w:r>
              <w:t xml:space="preserve">Technical logs</w:t>
            </w:r>
          </w:p>
        </w:tc>
        <w:tc>
          <w:tcPr/>
          <w:p>
            <w:pPr>
              <w:pStyle w:val="Compact"/>
            </w:pPr>
            <w:r>
              <w:t xml:space="preserve">Retain only as long as needed for security, troubleshooting and operations</w:t>
            </w:r>
          </w:p>
        </w:tc>
        <w:tc>
          <w:tcPr/>
          <w:p>
            <w:pPr>
              <w:pStyle w:val="Compact"/>
            </w:pPr>
            <w:r>
              <w:t xml:space="preserve">Nineteen Point Two or relevant supplier</w:t>
            </w:r>
          </w:p>
        </w:tc>
      </w:tr>
      <w:tr>
        <w:tc>
          <w:tcPr/>
          <w:p>
            <w:pPr>
              <w:pStyle w:val="Compact"/>
            </w:pPr>
            <w:r>
              <w:t xml:space="preserve">Backups</w:t>
            </w:r>
          </w:p>
        </w:tc>
        <w:tc>
          <w:tcPr/>
          <w:p>
            <w:pPr>
              <w:pStyle w:val="Compact"/>
            </w:pPr>
            <w:r>
              <w:t xml:space="preserve">Retain according to provider backup lifecycle</w:t>
            </w:r>
          </w:p>
        </w:tc>
        <w:tc>
          <w:tcPr/>
          <w:p>
            <w:pPr>
              <w:pStyle w:val="Compact"/>
            </w:pPr>
            <w:r>
              <w:t xml:space="preserve">Relevant supplier and Nineteen Point Two</w:t>
            </w:r>
          </w:p>
        </w:tc>
      </w:tr>
    </w:tbl>
    <w:bookmarkEnd w:id="200"/>
    <w:bookmarkStart w:id="201" w:name="customer-termination"/>
    <w:p>
      <w:pPr>
        <w:pStyle w:val="Heading2"/>
      </w:pPr>
      <w:r>
        <w:t xml:space="preserve">3. Customer termination</w:t>
      </w:r>
    </w:p>
    <w:p>
      <w:pPr>
        <w:pStyle w:val="FirstParagraph"/>
      </w:pPr>
      <w:r>
        <w:t xml:space="preserve">At the end of a customer relationship, Nineteen Point Two will handle Customer Personal Data in line with the Data Processing Agreement and order form.</w:t>
      </w:r>
    </w:p>
    <w:p>
      <w:pPr>
        <w:pStyle w:val="BodyText"/>
      </w:pPr>
      <w:r>
        <w:t xml:space="preserve">The default approach should be:</w:t>
      </w:r>
    </w:p>
    <w:p>
      <w:pPr>
        <w:pStyle w:val="Compact"/>
        <w:numPr>
          <w:ilvl w:val="0"/>
          <w:numId w:val="1059"/>
        </w:numPr>
      </w:pPr>
      <w:r>
        <w:t xml:space="preserve">confirm whether the customer wants an export</w:t>
      </w:r>
    </w:p>
    <w:p>
      <w:pPr>
        <w:pStyle w:val="Compact"/>
        <w:numPr>
          <w:ilvl w:val="0"/>
          <w:numId w:val="1059"/>
        </w:numPr>
      </w:pPr>
      <w:r>
        <w:t xml:space="preserve">provide export where technically and commercially reasonable</w:t>
      </w:r>
    </w:p>
    <w:p>
      <w:pPr>
        <w:pStyle w:val="Compact"/>
        <w:numPr>
          <w:ilvl w:val="0"/>
          <w:numId w:val="1059"/>
        </w:numPr>
      </w:pPr>
      <w:r>
        <w:t xml:space="preserve">remove active user access</w:t>
      </w:r>
    </w:p>
    <w:p>
      <w:pPr>
        <w:pStyle w:val="Compact"/>
        <w:numPr>
          <w:ilvl w:val="0"/>
          <w:numId w:val="1059"/>
        </w:numPr>
      </w:pPr>
      <w:r>
        <w:t xml:space="preserve">delete or archive Customer Personal Data after the agreed period</w:t>
      </w:r>
    </w:p>
    <w:p>
      <w:pPr>
        <w:pStyle w:val="Compact"/>
        <w:numPr>
          <w:ilvl w:val="0"/>
          <w:numId w:val="1059"/>
        </w:numPr>
      </w:pPr>
      <w:r>
        <w:t xml:space="preserve">allow backup copies to expire through normal backup cycles</w:t>
      </w:r>
    </w:p>
    <w:p>
      <w:pPr>
        <w:pStyle w:val="Compact"/>
        <w:numPr>
          <w:ilvl w:val="0"/>
          <w:numId w:val="1059"/>
        </w:numPr>
      </w:pPr>
      <w:r>
        <w:t xml:space="preserve">retain only records required for legal, financial, security or dispute purposes</w:t>
      </w:r>
    </w:p>
    <w:bookmarkEnd w:id="201"/>
    <w:bookmarkStart w:id="202" w:name="deletion-requests"/>
    <w:p>
      <w:pPr>
        <w:pStyle w:val="Heading2"/>
      </w:pPr>
      <w:r>
        <w:t xml:space="preserve">4. Deletion requests</w:t>
      </w:r>
    </w:p>
    <w:p>
      <w:pPr>
        <w:pStyle w:val="FirstParagraph"/>
      </w:pPr>
      <w:r>
        <w:t xml:space="preserve">Where Nineteen Point Two is controller, it will assess deletion requests under applicable data protection law.</w:t>
      </w:r>
    </w:p>
    <w:p>
      <w:pPr>
        <w:pStyle w:val="BodyText"/>
      </w:pPr>
      <w:r>
        <w:t xml:space="preserve">Where Nineteen Point Two is processor, it will normally refer deletion requests to the relevant customer organisation and assist as required under the Data Processing Agreement.</w:t>
      </w:r>
    </w:p>
    <w:bookmarkEnd w:id="202"/>
    <w:bookmarkStart w:id="203" w:name="exceptions"/>
    <w:p>
      <w:pPr>
        <w:pStyle w:val="Heading2"/>
      </w:pPr>
      <w:r>
        <w:t xml:space="preserve">5. Exceptions</w:t>
      </w:r>
    </w:p>
    <w:p>
      <w:pPr>
        <w:pStyle w:val="FirstParagraph"/>
      </w:pPr>
      <w:r>
        <w:t xml:space="preserve">Data may be retained for longer where required for:</w:t>
      </w:r>
    </w:p>
    <w:p>
      <w:pPr>
        <w:pStyle w:val="Compact"/>
        <w:numPr>
          <w:ilvl w:val="0"/>
          <w:numId w:val="1060"/>
        </w:numPr>
      </w:pPr>
      <w:r>
        <w:t xml:space="preserve">legal claims</w:t>
      </w:r>
    </w:p>
    <w:p>
      <w:pPr>
        <w:pStyle w:val="Compact"/>
        <w:numPr>
          <w:ilvl w:val="0"/>
          <w:numId w:val="1060"/>
        </w:numPr>
      </w:pPr>
      <w:r>
        <w:t xml:space="preserve">regulatory obligations</w:t>
      </w:r>
    </w:p>
    <w:p>
      <w:pPr>
        <w:pStyle w:val="Compact"/>
        <w:numPr>
          <w:ilvl w:val="0"/>
          <w:numId w:val="1060"/>
        </w:numPr>
      </w:pPr>
      <w:r>
        <w:t xml:space="preserve">accounting and tax obligations</w:t>
      </w:r>
    </w:p>
    <w:p>
      <w:pPr>
        <w:pStyle w:val="Compact"/>
        <w:numPr>
          <w:ilvl w:val="0"/>
          <w:numId w:val="1060"/>
        </w:numPr>
      </w:pPr>
      <w:r>
        <w:t xml:space="preserve">security investigations</w:t>
      </w:r>
    </w:p>
    <w:p>
      <w:pPr>
        <w:pStyle w:val="Compact"/>
        <w:numPr>
          <w:ilvl w:val="0"/>
          <w:numId w:val="1060"/>
        </w:numPr>
      </w:pPr>
      <w:r>
        <w:t xml:space="preserve">fraud prevention</w:t>
      </w:r>
    </w:p>
    <w:p>
      <w:pPr>
        <w:pStyle w:val="Compact"/>
        <w:numPr>
          <w:ilvl w:val="0"/>
          <w:numId w:val="1060"/>
        </w:numPr>
      </w:pPr>
      <w:r>
        <w:t xml:space="preserve">contractual disputes</w:t>
      </w:r>
    </w:p>
    <w:p>
      <w:pPr>
        <w:pStyle w:val="Compact"/>
        <w:numPr>
          <w:ilvl w:val="0"/>
          <w:numId w:val="1060"/>
        </w:numPr>
      </w:pPr>
      <w:r>
        <w:t xml:space="preserve">backup integrity</w:t>
      </w:r>
    </w:p>
    <w:p>
      <w:pPr>
        <w:pStyle w:val="Compact"/>
        <w:numPr>
          <w:ilvl w:val="0"/>
          <w:numId w:val="1060"/>
        </w:numPr>
      </w:pPr>
      <w:r>
        <w:t xml:space="preserve">compliance evidence</w:t>
      </w:r>
    </w:p>
    <w:bookmarkEnd w:id="203"/>
    <w:bookmarkStart w:id="204" w:name="review"/>
    <w:p>
      <w:pPr>
        <w:pStyle w:val="Heading2"/>
      </w:pPr>
      <w:r>
        <w:t xml:space="preserve">6. Review</w:t>
      </w:r>
    </w:p>
    <w:p>
      <w:pPr>
        <w:pStyle w:val="FirstParagraph"/>
      </w:pPr>
      <w:r>
        <w:t xml:space="preserve">This policy should be reviewed at least annually or when WAIA data flows materially change.</w:t>
      </w:r>
    </w:p>
    <w:p>
      <w:r>
        <w:pict>
          <v:rect style="width:0;height:1.5pt" o:hralign="center" o:hrstd="t" o:hr="t"/>
        </w:pict>
      </w:r>
    </w:p>
    <w:bookmarkEnd w:id="204"/>
    <w:bookmarkEnd w:id="205"/>
    <w:bookmarkStart w:id="218" w:name="security-incident-response-process"/>
    <w:p>
      <w:pPr>
        <w:pStyle w:val="Heading1"/>
      </w:pPr>
      <w:r>
        <w:t xml:space="preserve">16. Security Incident Response Process</w:t>
      </w:r>
    </w:p>
    <w:p>
      <w:pPr>
        <w:pStyle w:val="FirstParagraph"/>
      </w:pPr>
      <w:r>
        <w:rPr>
          <w:b/>
          <w:bCs/>
        </w:rPr>
        <w:t xml:space="preserve">Suggested use:</w:t>
      </w:r>
      <w:r>
        <w:t xml:space="preserve"> </w:t>
      </w:r>
      <w:r>
        <w:t xml:space="preserve">internal policy. Summary may be shared with customers during procurement.</w:t>
      </w:r>
    </w:p>
    <w:bookmarkStart w:id="206" w:name="security-incident-response-process-1"/>
    <w:p>
      <w:pPr>
        <w:pStyle w:val="Heading2"/>
      </w:pPr>
      <w:r>
        <w:t xml:space="preserve">Security Incident Response Process</w:t>
      </w:r>
    </w:p>
    <w:p>
      <w:pPr>
        <w:pStyle w:val="FirstParagraph"/>
      </w:pPr>
      <w:r>
        <w:t xml:space="preserve">This process explains how Nineteen Point Two responds to suspected or confirmed security incidents involving WAIA or customer data.</w:t>
      </w:r>
    </w:p>
    <w:bookmarkEnd w:id="206"/>
    <w:bookmarkStart w:id="207" w:name="purpose"/>
    <w:p>
      <w:pPr>
        <w:pStyle w:val="Heading2"/>
      </w:pPr>
      <w:r>
        <w:t xml:space="preserve">1. Purpose</w:t>
      </w:r>
    </w:p>
    <w:p>
      <w:pPr>
        <w:pStyle w:val="FirstParagraph"/>
      </w:pPr>
      <w:r>
        <w:t xml:space="preserve">The purpose of this process is to ensure suspected incidents are identified, assessed, contained, escalated, communicated and remediated appropriately.</w:t>
      </w:r>
    </w:p>
    <w:bookmarkEnd w:id="207"/>
    <w:bookmarkStart w:id="208" w:name="what-counts-as-a-security-incident"/>
    <w:p>
      <w:pPr>
        <w:pStyle w:val="Heading2"/>
      </w:pPr>
      <w:r>
        <w:t xml:space="preserve">2. What counts as a security incident</w:t>
      </w:r>
    </w:p>
    <w:p>
      <w:pPr>
        <w:pStyle w:val="FirstParagraph"/>
      </w:pPr>
      <w:r>
        <w:t xml:space="preserve">A security incident may include:</w:t>
      </w:r>
    </w:p>
    <w:p>
      <w:pPr>
        <w:pStyle w:val="Compact"/>
        <w:numPr>
          <w:ilvl w:val="0"/>
          <w:numId w:val="1061"/>
        </w:numPr>
      </w:pPr>
      <w:r>
        <w:t xml:space="preserve">unauthorised access to WAIA</w:t>
      </w:r>
    </w:p>
    <w:p>
      <w:pPr>
        <w:pStyle w:val="Compact"/>
        <w:numPr>
          <w:ilvl w:val="0"/>
          <w:numId w:val="1061"/>
        </w:numPr>
      </w:pPr>
      <w:r>
        <w:t xml:space="preserve">suspected account compromise</w:t>
      </w:r>
    </w:p>
    <w:p>
      <w:pPr>
        <w:pStyle w:val="Compact"/>
        <w:numPr>
          <w:ilvl w:val="0"/>
          <w:numId w:val="1061"/>
        </w:numPr>
      </w:pPr>
      <w:r>
        <w:t xml:space="preserve">accidental disclosure of customer data</w:t>
      </w:r>
    </w:p>
    <w:p>
      <w:pPr>
        <w:pStyle w:val="Compact"/>
        <w:numPr>
          <w:ilvl w:val="0"/>
          <w:numId w:val="1061"/>
        </w:numPr>
      </w:pPr>
      <w:r>
        <w:t xml:space="preserve">loss or corruption of data</w:t>
      </w:r>
    </w:p>
    <w:p>
      <w:pPr>
        <w:pStyle w:val="Compact"/>
        <w:numPr>
          <w:ilvl w:val="0"/>
          <w:numId w:val="1061"/>
        </w:numPr>
      </w:pPr>
      <w:r>
        <w:t xml:space="preserve">malware or malicious activity</w:t>
      </w:r>
    </w:p>
    <w:p>
      <w:pPr>
        <w:pStyle w:val="Compact"/>
        <w:numPr>
          <w:ilvl w:val="0"/>
          <w:numId w:val="1061"/>
        </w:numPr>
      </w:pPr>
      <w:r>
        <w:t xml:space="preserve">supplier security incident affecting WAIA</w:t>
      </w:r>
    </w:p>
    <w:p>
      <w:pPr>
        <w:pStyle w:val="Compact"/>
        <w:numPr>
          <w:ilvl w:val="0"/>
          <w:numId w:val="1061"/>
        </w:numPr>
      </w:pPr>
      <w:r>
        <w:t xml:space="preserve">exposed credentials</w:t>
      </w:r>
    </w:p>
    <w:p>
      <w:pPr>
        <w:pStyle w:val="Compact"/>
        <w:numPr>
          <w:ilvl w:val="0"/>
          <w:numId w:val="1061"/>
        </w:numPr>
      </w:pPr>
      <w:r>
        <w:t xml:space="preserve">misconfigured access controls</w:t>
      </w:r>
    </w:p>
    <w:p>
      <w:pPr>
        <w:pStyle w:val="Compact"/>
        <w:numPr>
          <w:ilvl w:val="0"/>
          <w:numId w:val="1061"/>
        </w:numPr>
      </w:pPr>
      <w:r>
        <w:t xml:space="preserve">cross-tenant data exposure</w:t>
      </w:r>
    </w:p>
    <w:p>
      <w:pPr>
        <w:pStyle w:val="Compact"/>
        <w:numPr>
          <w:ilvl w:val="0"/>
          <w:numId w:val="1061"/>
        </w:numPr>
      </w:pPr>
      <w:r>
        <w:t xml:space="preserve">unauthorised access to production systems</w:t>
      </w:r>
    </w:p>
    <w:p>
      <w:pPr>
        <w:pStyle w:val="FirstParagraph"/>
      </w:pPr>
      <w:r>
        <w:t xml:space="preserve">A personal data breach is a confirmed security incident that leads to accidental or unlawful destruction, loss, alteration, unauthorised disclosure of, or access to, personal data.</w:t>
      </w:r>
    </w:p>
    <w:bookmarkEnd w:id="208"/>
    <w:bookmarkStart w:id="215" w:name="incident-stages"/>
    <w:p>
      <w:pPr>
        <w:pStyle w:val="Heading2"/>
      </w:pPr>
      <w:r>
        <w:t xml:space="preserve">3. Incident stages</w:t>
      </w:r>
    </w:p>
    <w:bookmarkStart w:id="209" w:name="stage-1-identify"/>
    <w:p>
      <w:pPr>
        <w:pStyle w:val="Heading3"/>
      </w:pPr>
      <w:r>
        <w:t xml:space="preserve">Stage 1: Identify</w:t>
      </w:r>
    </w:p>
    <w:p>
      <w:pPr>
        <w:pStyle w:val="FirstParagraph"/>
      </w:pPr>
      <w:r>
        <w:t xml:space="preserve">Record:</w:t>
      </w:r>
    </w:p>
    <w:p>
      <w:pPr>
        <w:pStyle w:val="Compact"/>
        <w:numPr>
          <w:ilvl w:val="0"/>
          <w:numId w:val="1062"/>
        </w:numPr>
      </w:pPr>
      <w:r>
        <w:t xml:space="preserve">who reported the issue</w:t>
      </w:r>
    </w:p>
    <w:p>
      <w:pPr>
        <w:pStyle w:val="Compact"/>
        <w:numPr>
          <w:ilvl w:val="0"/>
          <w:numId w:val="1062"/>
        </w:numPr>
      </w:pPr>
      <w:r>
        <w:t xml:space="preserve">when it was detected</w:t>
      </w:r>
    </w:p>
    <w:p>
      <w:pPr>
        <w:pStyle w:val="Compact"/>
        <w:numPr>
          <w:ilvl w:val="0"/>
          <w:numId w:val="1062"/>
        </w:numPr>
      </w:pPr>
      <w:r>
        <w:t xml:space="preserve">systems affected</w:t>
      </w:r>
    </w:p>
    <w:p>
      <w:pPr>
        <w:pStyle w:val="Compact"/>
        <w:numPr>
          <w:ilvl w:val="0"/>
          <w:numId w:val="1062"/>
        </w:numPr>
      </w:pPr>
      <w:r>
        <w:t xml:space="preserve">data potentially affected</w:t>
      </w:r>
    </w:p>
    <w:p>
      <w:pPr>
        <w:pStyle w:val="Compact"/>
        <w:numPr>
          <w:ilvl w:val="0"/>
          <w:numId w:val="1062"/>
        </w:numPr>
      </w:pPr>
      <w:r>
        <w:t xml:space="preserve">users or customers potentially affected</w:t>
      </w:r>
    </w:p>
    <w:p>
      <w:pPr>
        <w:pStyle w:val="Compact"/>
        <w:numPr>
          <w:ilvl w:val="0"/>
          <w:numId w:val="1062"/>
        </w:numPr>
      </w:pPr>
      <w:r>
        <w:t xml:space="preserve">immediate evidence available</w:t>
      </w:r>
    </w:p>
    <w:bookmarkEnd w:id="209"/>
    <w:bookmarkStart w:id="210" w:name="stage-2-contain"/>
    <w:p>
      <w:pPr>
        <w:pStyle w:val="Heading3"/>
      </w:pPr>
      <w:r>
        <w:t xml:space="preserve">Stage 2: Contain</w:t>
      </w:r>
    </w:p>
    <w:p>
      <w:pPr>
        <w:pStyle w:val="FirstParagraph"/>
      </w:pPr>
      <w:r>
        <w:t xml:space="preserve">Take immediate proportionate action, which may include:</w:t>
      </w:r>
    </w:p>
    <w:p>
      <w:pPr>
        <w:pStyle w:val="Compact"/>
        <w:numPr>
          <w:ilvl w:val="0"/>
          <w:numId w:val="1063"/>
        </w:numPr>
      </w:pPr>
      <w:r>
        <w:t xml:space="preserve">disabling affected accounts</w:t>
      </w:r>
    </w:p>
    <w:p>
      <w:pPr>
        <w:pStyle w:val="Compact"/>
        <w:numPr>
          <w:ilvl w:val="0"/>
          <w:numId w:val="1063"/>
        </w:numPr>
      </w:pPr>
      <w:r>
        <w:t xml:space="preserve">rotating credentials</w:t>
      </w:r>
    </w:p>
    <w:p>
      <w:pPr>
        <w:pStyle w:val="Compact"/>
        <w:numPr>
          <w:ilvl w:val="0"/>
          <w:numId w:val="1063"/>
        </w:numPr>
      </w:pPr>
      <w:r>
        <w:t xml:space="preserve">restricting access</w:t>
      </w:r>
    </w:p>
    <w:p>
      <w:pPr>
        <w:pStyle w:val="Compact"/>
        <w:numPr>
          <w:ilvl w:val="0"/>
          <w:numId w:val="1063"/>
        </w:numPr>
      </w:pPr>
      <w:r>
        <w:t xml:space="preserve">pausing affected functionality</w:t>
      </w:r>
    </w:p>
    <w:p>
      <w:pPr>
        <w:pStyle w:val="Compact"/>
        <w:numPr>
          <w:ilvl w:val="0"/>
          <w:numId w:val="1063"/>
        </w:numPr>
      </w:pPr>
      <w:r>
        <w:t xml:space="preserve">contacting suppliers</w:t>
      </w:r>
    </w:p>
    <w:p>
      <w:pPr>
        <w:pStyle w:val="Compact"/>
        <w:numPr>
          <w:ilvl w:val="0"/>
          <w:numId w:val="1063"/>
        </w:numPr>
      </w:pPr>
      <w:r>
        <w:t xml:space="preserve">preserving logs</w:t>
      </w:r>
    </w:p>
    <w:p>
      <w:pPr>
        <w:pStyle w:val="Compact"/>
        <w:numPr>
          <w:ilvl w:val="0"/>
          <w:numId w:val="1063"/>
        </w:numPr>
      </w:pPr>
      <w:r>
        <w:t xml:space="preserve">preventing further data exposure</w:t>
      </w:r>
    </w:p>
    <w:bookmarkEnd w:id="210"/>
    <w:bookmarkStart w:id="211" w:name="stage-3-assess"/>
    <w:p>
      <w:pPr>
        <w:pStyle w:val="Heading3"/>
      </w:pPr>
      <w:r>
        <w:t xml:space="preserve">Stage 3: Assess</w:t>
      </w:r>
    </w:p>
    <w:p>
      <w:pPr>
        <w:pStyle w:val="FirstParagraph"/>
      </w:pPr>
      <w:r>
        <w:t xml:space="preserve">Assess:</w:t>
      </w:r>
    </w:p>
    <w:p>
      <w:pPr>
        <w:pStyle w:val="Compact"/>
        <w:numPr>
          <w:ilvl w:val="0"/>
          <w:numId w:val="1064"/>
        </w:numPr>
      </w:pPr>
      <w:r>
        <w:t xml:space="preserve">whether personal data is involved</w:t>
      </w:r>
    </w:p>
    <w:p>
      <w:pPr>
        <w:pStyle w:val="Compact"/>
        <w:numPr>
          <w:ilvl w:val="0"/>
          <w:numId w:val="1064"/>
        </w:numPr>
      </w:pPr>
      <w:r>
        <w:t xml:space="preserve">whether Customer Personal Data is involved</w:t>
      </w:r>
    </w:p>
    <w:p>
      <w:pPr>
        <w:pStyle w:val="Compact"/>
        <w:numPr>
          <w:ilvl w:val="0"/>
          <w:numId w:val="1064"/>
        </w:numPr>
      </w:pPr>
      <w:r>
        <w:t xml:space="preserve">which customers are affected</w:t>
      </w:r>
    </w:p>
    <w:p>
      <w:pPr>
        <w:pStyle w:val="Compact"/>
        <w:numPr>
          <w:ilvl w:val="0"/>
          <w:numId w:val="1064"/>
        </w:numPr>
      </w:pPr>
      <w:r>
        <w:t xml:space="preserve">whether the issue is ongoing</w:t>
      </w:r>
    </w:p>
    <w:p>
      <w:pPr>
        <w:pStyle w:val="Compact"/>
        <w:numPr>
          <w:ilvl w:val="0"/>
          <w:numId w:val="1064"/>
        </w:numPr>
      </w:pPr>
      <w:r>
        <w:t xml:space="preserve">likely cause</w:t>
      </w:r>
    </w:p>
    <w:p>
      <w:pPr>
        <w:pStyle w:val="Compact"/>
        <w:numPr>
          <w:ilvl w:val="0"/>
          <w:numId w:val="1064"/>
        </w:numPr>
      </w:pPr>
      <w:r>
        <w:t xml:space="preserve">likely risk to individuals</w:t>
      </w:r>
    </w:p>
    <w:p>
      <w:pPr>
        <w:pStyle w:val="Compact"/>
        <w:numPr>
          <w:ilvl w:val="0"/>
          <w:numId w:val="1064"/>
        </w:numPr>
      </w:pPr>
      <w:r>
        <w:t xml:space="preserve">whether notification is required</w:t>
      </w:r>
    </w:p>
    <w:p>
      <w:pPr>
        <w:pStyle w:val="Compact"/>
        <w:numPr>
          <w:ilvl w:val="0"/>
          <w:numId w:val="1064"/>
        </w:numPr>
      </w:pPr>
      <w:r>
        <w:t xml:space="preserve">whether legal advice is needed</w:t>
      </w:r>
    </w:p>
    <w:bookmarkEnd w:id="211"/>
    <w:bookmarkStart w:id="212" w:name="stage-4-notify"/>
    <w:p>
      <w:pPr>
        <w:pStyle w:val="Heading3"/>
      </w:pPr>
      <w:r>
        <w:t xml:space="preserve">Stage 4: Notify</w:t>
      </w:r>
    </w:p>
    <w:p>
      <w:pPr>
        <w:pStyle w:val="FirstParagraph"/>
      </w:pPr>
      <w:r>
        <w:t xml:space="preserve">Where a confirmed personal data breach affects Customer Personal Data, notify the affected customer without undue delay.</w:t>
      </w:r>
    </w:p>
    <w:p>
      <w:pPr>
        <w:pStyle w:val="BodyText"/>
      </w:pPr>
      <w:r>
        <w:t xml:space="preserve">Notification should include available information about:</w:t>
      </w:r>
    </w:p>
    <w:p>
      <w:pPr>
        <w:pStyle w:val="Compact"/>
        <w:numPr>
          <w:ilvl w:val="0"/>
          <w:numId w:val="1065"/>
        </w:numPr>
      </w:pPr>
      <w:r>
        <w:t xml:space="preserve">nature of the incident</w:t>
      </w:r>
    </w:p>
    <w:p>
      <w:pPr>
        <w:pStyle w:val="Compact"/>
        <w:numPr>
          <w:ilvl w:val="0"/>
          <w:numId w:val="1065"/>
        </w:numPr>
      </w:pPr>
      <w:r>
        <w:t xml:space="preserve">categories of data affected</w:t>
      </w:r>
    </w:p>
    <w:p>
      <w:pPr>
        <w:pStyle w:val="Compact"/>
        <w:numPr>
          <w:ilvl w:val="0"/>
          <w:numId w:val="1065"/>
        </w:numPr>
      </w:pPr>
      <w:r>
        <w:t xml:space="preserve">approximate number of individuals affected, if known</w:t>
      </w:r>
    </w:p>
    <w:p>
      <w:pPr>
        <w:pStyle w:val="Compact"/>
        <w:numPr>
          <w:ilvl w:val="0"/>
          <w:numId w:val="1065"/>
        </w:numPr>
      </w:pPr>
      <w:r>
        <w:t xml:space="preserve">likely consequences</w:t>
      </w:r>
    </w:p>
    <w:p>
      <w:pPr>
        <w:pStyle w:val="Compact"/>
        <w:numPr>
          <w:ilvl w:val="0"/>
          <w:numId w:val="1065"/>
        </w:numPr>
      </w:pPr>
      <w:r>
        <w:t xml:space="preserve">containment steps</w:t>
      </w:r>
    </w:p>
    <w:p>
      <w:pPr>
        <w:pStyle w:val="Compact"/>
        <w:numPr>
          <w:ilvl w:val="0"/>
          <w:numId w:val="1065"/>
        </w:numPr>
      </w:pPr>
      <w:r>
        <w:t xml:space="preserve">recommended customer action</w:t>
      </w:r>
    </w:p>
    <w:p>
      <w:pPr>
        <w:pStyle w:val="Compact"/>
        <w:numPr>
          <w:ilvl w:val="0"/>
          <w:numId w:val="1065"/>
        </w:numPr>
      </w:pPr>
      <w:r>
        <w:t xml:space="preserve">further updates</w:t>
      </w:r>
    </w:p>
    <w:p>
      <w:pPr>
        <w:pStyle w:val="FirstParagraph"/>
      </w:pPr>
      <w:r>
        <w:t xml:space="preserve">Where Nineteen Point Two is controller, assess whether notification to the ICO or affected individuals is required.</w:t>
      </w:r>
    </w:p>
    <w:bookmarkEnd w:id="212"/>
    <w:bookmarkStart w:id="213" w:name="stage-5-remediate"/>
    <w:p>
      <w:pPr>
        <w:pStyle w:val="Heading3"/>
      </w:pPr>
      <w:r>
        <w:t xml:space="preserve">Stage 5: Remediate</w:t>
      </w:r>
    </w:p>
    <w:p>
      <w:pPr>
        <w:pStyle w:val="FirstParagraph"/>
      </w:pPr>
      <w:r>
        <w:t xml:space="preserve">Remediation may include:</w:t>
      </w:r>
    </w:p>
    <w:p>
      <w:pPr>
        <w:pStyle w:val="Compact"/>
        <w:numPr>
          <w:ilvl w:val="0"/>
          <w:numId w:val="1066"/>
        </w:numPr>
      </w:pPr>
      <w:r>
        <w:t xml:space="preserve">fixing configuration issues</w:t>
      </w:r>
    </w:p>
    <w:p>
      <w:pPr>
        <w:pStyle w:val="Compact"/>
        <w:numPr>
          <w:ilvl w:val="0"/>
          <w:numId w:val="1066"/>
        </w:numPr>
      </w:pPr>
      <w:r>
        <w:t xml:space="preserve">patching code</w:t>
      </w:r>
    </w:p>
    <w:p>
      <w:pPr>
        <w:pStyle w:val="Compact"/>
        <w:numPr>
          <w:ilvl w:val="0"/>
          <w:numId w:val="1066"/>
        </w:numPr>
      </w:pPr>
      <w:r>
        <w:t xml:space="preserve">updating access controls</w:t>
      </w:r>
    </w:p>
    <w:p>
      <w:pPr>
        <w:pStyle w:val="Compact"/>
        <w:numPr>
          <w:ilvl w:val="0"/>
          <w:numId w:val="1066"/>
        </w:numPr>
      </w:pPr>
      <w:r>
        <w:t xml:space="preserve">improving monitoring</w:t>
      </w:r>
    </w:p>
    <w:p>
      <w:pPr>
        <w:pStyle w:val="Compact"/>
        <w:numPr>
          <w:ilvl w:val="0"/>
          <w:numId w:val="1066"/>
        </w:numPr>
      </w:pPr>
      <w:r>
        <w:t xml:space="preserve">changing supplier settings</w:t>
      </w:r>
    </w:p>
    <w:p>
      <w:pPr>
        <w:pStyle w:val="Compact"/>
        <w:numPr>
          <w:ilvl w:val="0"/>
          <w:numId w:val="1066"/>
        </w:numPr>
      </w:pPr>
      <w:r>
        <w:t xml:space="preserve">updating documentation</w:t>
      </w:r>
    </w:p>
    <w:p>
      <w:pPr>
        <w:pStyle w:val="Compact"/>
        <w:numPr>
          <w:ilvl w:val="0"/>
          <w:numId w:val="1066"/>
        </w:numPr>
      </w:pPr>
      <w:r>
        <w:t xml:space="preserve">retraining internal users</w:t>
      </w:r>
    </w:p>
    <w:p>
      <w:pPr>
        <w:pStyle w:val="Compact"/>
        <w:numPr>
          <w:ilvl w:val="0"/>
          <w:numId w:val="1066"/>
        </w:numPr>
      </w:pPr>
      <w:r>
        <w:t xml:space="preserve">changing product workflows</w:t>
      </w:r>
    </w:p>
    <w:bookmarkEnd w:id="213"/>
    <w:bookmarkStart w:id="214" w:name="stage-6-review"/>
    <w:p>
      <w:pPr>
        <w:pStyle w:val="Heading3"/>
      </w:pPr>
      <w:r>
        <w:t xml:space="preserve">Stage 6: Review</w:t>
      </w:r>
    </w:p>
    <w:p>
      <w:pPr>
        <w:pStyle w:val="FirstParagraph"/>
      </w:pPr>
      <w:r>
        <w:t xml:space="preserve">After the incident, complete a short post-incident review covering:</w:t>
      </w:r>
    </w:p>
    <w:p>
      <w:pPr>
        <w:pStyle w:val="Compact"/>
        <w:numPr>
          <w:ilvl w:val="0"/>
          <w:numId w:val="1067"/>
        </w:numPr>
      </w:pPr>
      <w:r>
        <w:t xml:space="preserve">root cause</w:t>
      </w:r>
    </w:p>
    <w:p>
      <w:pPr>
        <w:pStyle w:val="Compact"/>
        <w:numPr>
          <w:ilvl w:val="0"/>
          <w:numId w:val="1067"/>
        </w:numPr>
      </w:pPr>
      <w:r>
        <w:t xml:space="preserve">impact</w:t>
      </w:r>
    </w:p>
    <w:p>
      <w:pPr>
        <w:pStyle w:val="Compact"/>
        <w:numPr>
          <w:ilvl w:val="0"/>
          <w:numId w:val="1067"/>
        </w:numPr>
      </w:pPr>
      <w:r>
        <w:t xml:space="preserve">what worked</w:t>
      </w:r>
    </w:p>
    <w:p>
      <w:pPr>
        <w:pStyle w:val="Compact"/>
        <w:numPr>
          <w:ilvl w:val="0"/>
          <w:numId w:val="1067"/>
        </w:numPr>
      </w:pPr>
      <w:r>
        <w:t xml:space="preserve">what failed</w:t>
      </w:r>
    </w:p>
    <w:p>
      <w:pPr>
        <w:pStyle w:val="Compact"/>
        <w:numPr>
          <w:ilvl w:val="0"/>
          <w:numId w:val="1067"/>
        </w:numPr>
      </w:pPr>
      <w:r>
        <w:t xml:space="preserve">customer communication</w:t>
      </w:r>
    </w:p>
    <w:p>
      <w:pPr>
        <w:pStyle w:val="Compact"/>
        <w:numPr>
          <w:ilvl w:val="0"/>
          <w:numId w:val="1067"/>
        </w:numPr>
      </w:pPr>
      <w:r>
        <w:t xml:space="preserve">supplier performance</w:t>
      </w:r>
    </w:p>
    <w:p>
      <w:pPr>
        <w:pStyle w:val="Compact"/>
        <w:numPr>
          <w:ilvl w:val="0"/>
          <w:numId w:val="1067"/>
        </w:numPr>
      </w:pPr>
      <w:r>
        <w:t xml:space="preserve">actions to prevent recurrence</w:t>
      </w:r>
    </w:p>
    <w:p>
      <w:pPr>
        <w:pStyle w:val="Compact"/>
        <w:numPr>
          <w:ilvl w:val="0"/>
          <w:numId w:val="1067"/>
        </w:numPr>
      </w:pPr>
      <w:r>
        <w:t xml:space="preserve">owner and deadline for each action</w:t>
      </w:r>
    </w:p>
    <w:bookmarkEnd w:id="214"/>
    <w:bookmarkEnd w:id="215"/>
    <w:bookmarkStart w:id="216" w:name="incident-log"/>
    <w:p>
      <w:pPr>
        <w:pStyle w:val="Heading2"/>
      </w:pPr>
      <w:r>
        <w:t xml:space="preserve">4. Incident log</w:t>
      </w:r>
    </w:p>
    <w:p>
      <w:pPr>
        <w:pStyle w:val="FirstParagraph"/>
      </w:pPr>
      <w:r>
        <w:t xml:space="preserve">Maintain an incident log with:</w:t>
      </w:r>
    </w:p>
    <w:p>
      <w:pPr>
        <w:pStyle w:val="Compact"/>
        <w:numPr>
          <w:ilvl w:val="0"/>
          <w:numId w:val="1068"/>
        </w:numPr>
      </w:pPr>
      <w:r>
        <w:t xml:space="preserve">incident date</w:t>
      </w:r>
    </w:p>
    <w:p>
      <w:pPr>
        <w:pStyle w:val="Compact"/>
        <w:numPr>
          <w:ilvl w:val="0"/>
          <w:numId w:val="1068"/>
        </w:numPr>
      </w:pPr>
      <w:r>
        <w:t xml:space="preserve">reporter</w:t>
      </w:r>
    </w:p>
    <w:p>
      <w:pPr>
        <w:pStyle w:val="Compact"/>
        <w:numPr>
          <w:ilvl w:val="0"/>
          <w:numId w:val="1068"/>
        </w:numPr>
      </w:pPr>
      <w:r>
        <w:t xml:space="preserve">affected systems</w:t>
      </w:r>
    </w:p>
    <w:p>
      <w:pPr>
        <w:pStyle w:val="Compact"/>
        <w:numPr>
          <w:ilvl w:val="0"/>
          <w:numId w:val="1068"/>
        </w:numPr>
      </w:pPr>
      <w:r>
        <w:t xml:space="preserve">affected customers</w:t>
      </w:r>
    </w:p>
    <w:p>
      <w:pPr>
        <w:pStyle w:val="Compact"/>
        <w:numPr>
          <w:ilvl w:val="0"/>
          <w:numId w:val="1068"/>
        </w:numPr>
      </w:pPr>
      <w:r>
        <w:t xml:space="preserve">personal data involved</w:t>
      </w:r>
    </w:p>
    <w:p>
      <w:pPr>
        <w:pStyle w:val="Compact"/>
        <w:numPr>
          <w:ilvl w:val="0"/>
          <w:numId w:val="1068"/>
        </w:numPr>
      </w:pPr>
      <w:r>
        <w:t xml:space="preserve">risk assessment</w:t>
      </w:r>
    </w:p>
    <w:p>
      <w:pPr>
        <w:pStyle w:val="Compact"/>
        <w:numPr>
          <w:ilvl w:val="0"/>
          <w:numId w:val="1068"/>
        </w:numPr>
      </w:pPr>
      <w:r>
        <w:t xml:space="preserve">actions taken</w:t>
      </w:r>
    </w:p>
    <w:p>
      <w:pPr>
        <w:pStyle w:val="Compact"/>
        <w:numPr>
          <w:ilvl w:val="0"/>
          <w:numId w:val="1068"/>
        </w:numPr>
      </w:pPr>
      <w:r>
        <w:t xml:space="preserve">notifications made</w:t>
      </w:r>
    </w:p>
    <w:p>
      <w:pPr>
        <w:pStyle w:val="Compact"/>
        <w:numPr>
          <w:ilvl w:val="0"/>
          <w:numId w:val="1068"/>
        </w:numPr>
      </w:pPr>
      <w:r>
        <w:t xml:space="preserve">closure date</w:t>
      </w:r>
    </w:p>
    <w:p>
      <w:pPr>
        <w:pStyle w:val="Compact"/>
        <w:numPr>
          <w:ilvl w:val="0"/>
          <w:numId w:val="1068"/>
        </w:numPr>
      </w:pPr>
      <w:r>
        <w:t xml:space="preserve">lessons learned</w:t>
      </w:r>
    </w:p>
    <w:bookmarkEnd w:id="216"/>
    <w:bookmarkStart w:id="217" w:name="contact-7"/>
    <w:p>
      <w:pPr>
        <w:pStyle w:val="Heading2"/>
      </w:pPr>
      <w:r>
        <w:t xml:space="preserve">5. Contact</w:t>
      </w:r>
    </w:p>
    <w:p>
      <w:pPr>
        <w:pStyle w:val="FirstParagraph"/>
      </w:pPr>
      <w:r>
        <w:t xml:space="preserve">Security incidents should be reported to</w:t>
      </w:r>
      <w:r>
        <w:t xml:space="preserve"> </w:t>
      </w:r>
      <w:r>
        <w:rPr>
          <w:b/>
          <w:bCs/>
        </w:rPr>
        <w:t xml:space="preserve">ben@nineteenpointtwo.com</w:t>
      </w:r>
      <w:r>
        <w:t xml:space="preserve">.</w:t>
      </w:r>
    </w:p>
    <w:p>
      <w:r>
        <w:pict>
          <v:rect style="width:0;height:1.5pt" o:hralign="center" o:hrstd="t" o:hr="t"/>
        </w:pict>
      </w:r>
    </w:p>
    <w:bookmarkEnd w:id="217"/>
    <w:bookmarkEnd w:id="218"/>
    <w:bookmarkStart w:id="227" w:name="supplier-and-subprocessor-review-process"/>
    <w:p>
      <w:pPr>
        <w:pStyle w:val="Heading1"/>
      </w:pPr>
      <w:r>
        <w:t xml:space="preserve">17. Supplier and Subprocessor Review Process</w:t>
      </w:r>
    </w:p>
    <w:p>
      <w:pPr>
        <w:pStyle w:val="FirstParagraph"/>
      </w:pPr>
      <w:r>
        <w:rPr>
          <w:b/>
          <w:bCs/>
        </w:rPr>
        <w:t xml:space="preserve">Suggested use:</w:t>
      </w:r>
      <w:r>
        <w:t xml:space="preserve"> </w:t>
      </w:r>
      <w:r>
        <w:t xml:space="preserve">internal policy.</w:t>
      </w:r>
    </w:p>
    <w:bookmarkStart w:id="219" w:name="X7335c4c7517e75df8c689e955d281b1587a614f"/>
    <w:p>
      <w:pPr>
        <w:pStyle w:val="Heading2"/>
      </w:pPr>
      <w:r>
        <w:t xml:space="preserve">Supplier and Subprocessor Review Process</w:t>
      </w:r>
    </w:p>
    <w:p>
      <w:pPr>
        <w:pStyle w:val="FirstParagraph"/>
      </w:pPr>
      <w:r>
        <w:t xml:space="preserve">This process explains how Nineteen Point Two reviews suppliers that may process personal data or support WAIA.</w:t>
      </w:r>
    </w:p>
    <w:bookmarkEnd w:id="219"/>
    <w:bookmarkStart w:id="220" w:name="purpose-1"/>
    <w:p>
      <w:pPr>
        <w:pStyle w:val="Heading2"/>
      </w:pPr>
      <w:r>
        <w:t xml:space="preserve">1. Purpose</w:t>
      </w:r>
    </w:p>
    <w:p>
      <w:pPr>
        <w:pStyle w:val="FirstParagraph"/>
      </w:pPr>
      <w:r>
        <w:t xml:space="preserve">Nineteen Point Two relies on third-party providers to build, host, operate, secure and support WAIA.</w:t>
      </w:r>
    </w:p>
    <w:p>
      <w:pPr>
        <w:pStyle w:val="BodyText"/>
      </w:pPr>
      <w:r>
        <w:t xml:space="preserve">Before using a provider that may process Customer Personal Data, Nineteen Point Two should confirm the provider is suitable for the intended purpose and that appropriate contractual and security safeguards are in place.</w:t>
      </w:r>
    </w:p>
    <w:bookmarkEnd w:id="220"/>
    <w:bookmarkStart w:id="221" w:name="review-triggers"/>
    <w:p>
      <w:pPr>
        <w:pStyle w:val="Heading2"/>
      </w:pPr>
      <w:r>
        <w:t xml:space="preserve">2. Review triggers</w:t>
      </w:r>
    </w:p>
    <w:p>
      <w:pPr>
        <w:pStyle w:val="FirstParagraph"/>
      </w:pPr>
      <w:r>
        <w:t xml:space="preserve">A supplier review should take place when:</w:t>
      </w:r>
    </w:p>
    <w:p>
      <w:pPr>
        <w:pStyle w:val="Compact"/>
        <w:numPr>
          <w:ilvl w:val="0"/>
          <w:numId w:val="1069"/>
        </w:numPr>
      </w:pPr>
      <w:r>
        <w:t xml:space="preserve">a new provider is introduced</w:t>
      </w:r>
    </w:p>
    <w:p>
      <w:pPr>
        <w:pStyle w:val="Compact"/>
        <w:numPr>
          <w:ilvl w:val="0"/>
          <w:numId w:val="1069"/>
        </w:numPr>
      </w:pPr>
      <w:r>
        <w:t xml:space="preserve">a provider starts receiving Customer Personal Data</w:t>
      </w:r>
    </w:p>
    <w:p>
      <w:pPr>
        <w:pStyle w:val="Compact"/>
        <w:numPr>
          <w:ilvl w:val="0"/>
          <w:numId w:val="1069"/>
        </w:numPr>
      </w:pPr>
      <w:r>
        <w:t xml:space="preserve">a provider’s purpose materially changes</w:t>
      </w:r>
    </w:p>
    <w:p>
      <w:pPr>
        <w:pStyle w:val="Compact"/>
        <w:numPr>
          <w:ilvl w:val="0"/>
          <w:numId w:val="1069"/>
        </w:numPr>
      </w:pPr>
      <w:r>
        <w:t xml:space="preserve">a provider changes hosting region or subprocessor model</w:t>
      </w:r>
    </w:p>
    <w:p>
      <w:pPr>
        <w:pStyle w:val="Compact"/>
        <w:numPr>
          <w:ilvl w:val="0"/>
          <w:numId w:val="1069"/>
        </w:numPr>
      </w:pPr>
      <w:r>
        <w:t xml:space="preserve">a customer raises a procurement or data protection question</w:t>
      </w:r>
    </w:p>
    <w:p>
      <w:pPr>
        <w:pStyle w:val="Compact"/>
        <w:numPr>
          <w:ilvl w:val="0"/>
          <w:numId w:val="1069"/>
        </w:numPr>
      </w:pPr>
      <w:r>
        <w:t xml:space="preserve">a material incident occurs</w:t>
      </w:r>
    </w:p>
    <w:p>
      <w:pPr>
        <w:pStyle w:val="Compact"/>
        <w:numPr>
          <w:ilvl w:val="0"/>
          <w:numId w:val="1069"/>
        </w:numPr>
      </w:pPr>
      <w:r>
        <w:t xml:space="preserve">the WAIA architecture materially changes</w:t>
      </w:r>
    </w:p>
    <w:bookmarkEnd w:id="221"/>
    <w:bookmarkStart w:id="222" w:name="minimum-checks"/>
    <w:p>
      <w:pPr>
        <w:pStyle w:val="Heading2"/>
      </w:pPr>
      <w:r>
        <w:t xml:space="preserve">3. Minimum checks</w:t>
      </w:r>
    </w:p>
    <w:p>
      <w:pPr>
        <w:pStyle w:val="FirstParagraph"/>
      </w:pPr>
      <w:r>
        <w:t xml:space="preserve">For each relevant provider, record:</w:t>
      </w:r>
    </w:p>
    <w:p>
      <w:pPr>
        <w:pStyle w:val="Compact"/>
        <w:numPr>
          <w:ilvl w:val="0"/>
          <w:numId w:val="1070"/>
        </w:numPr>
      </w:pPr>
      <w:r>
        <w:t xml:space="preserve">provider name</w:t>
      </w:r>
    </w:p>
    <w:p>
      <w:pPr>
        <w:pStyle w:val="Compact"/>
        <w:numPr>
          <w:ilvl w:val="0"/>
          <w:numId w:val="1070"/>
        </w:numPr>
      </w:pPr>
      <w:r>
        <w:t xml:space="preserve">service purpose</w:t>
      </w:r>
    </w:p>
    <w:p>
      <w:pPr>
        <w:pStyle w:val="Compact"/>
        <w:numPr>
          <w:ilvl w:val="0"/>
          <w:numId w:val="1070"/>
        </w:numPr>
      </w:pPr>
      <w:r>
        <w:t xml:space="preserve">data categories processed</w:t>
      </w:r>
    </w:p>
    <w:p>
      <w:pPr>
        <w:pStyle w:val="Compact"/>
        <w:numPr>
          <w:ilvl w:val="0"/>
          <w:numId w:val="1070"/>
        </w:numPr>
      </w:pPr>
      <w:r>
        <w:t xml:space="preserve">whether Customer Personal Data is involved</w:t>
      </w:r>
    </w:p>
    <w:p>
      <w:pPr>
        <w:pStyle w:val="Compact"/>
        <w:numPr>
          <w:ilvl w:val="0"/>
          <w:numId w:val="1070"/>
        </w:numPr>
      </w:pPr>
      <w:r>
        <w:t xml:space="preserve">whether special category data is involved</w:t>
      </w:r>
    </w:p>
    <w:p>
      <w:pPr>
        <w:pStyle w:val="Compact"/>
        <w:numPr>
          <w:ilvl w:val="0"/>
          <w:numId w:val="1070"/>
        </w:numPr>
      </w:pPr>
      <w:r>
        <w:t xml:space="preserve">role, such as processor, subprocessor or independent controller</w:t>
      </w:r>
    </w:p>
    <w:p>
      <w:pPr>
        <w:pStyle w:val="Compact"/>
        <w:numPr>
          <w:ilvl w:val="0"/>
          <w:numId w:val="1070"/>
        </w:numPr>
      </w:pPr>
      <w:r>
        <w:t xml:space="preserve">hosting or processing location</w:t>
      </w:r>
    </w:p>
    <w:p>
      <w:pPr>
        <w:pStyle w:val="Compact"/>
        <w:numPr>
          <w:ilvl w:val="0"/>
          <w:numId w:val="1070"/>
        </w:numPr>
      </w:pPr>
      <w:r>
        <w:t xml:space="preserve">DPA status</w:t>
      </w:r>
    </w:p>
    <w:p>
      <w:pPr>
        <w:pStyle w:val="Compact"/>
        <w:numPr>
          <w:ilvl w:val="0"/>
          <w:numId w:val="1070"/>
        </w:numPr>
      </w:pPr>
      <w:r>
        <w:t xml:space="preserve">transfer mechanism status</w:t>
      </w:r>
    </w:p>
    <w:p>
      <w:pPr>
        <w:pStyle w:val="Compact"/>
        <w:numPr>
          <w:ilvl w:val="0"/>
          <w:numId w:val="1070"/>
        </w:numPr>
      </w:pPr>
      <w:r>
        <w:t xml:space="preserve">security documentation available</w:t>
      </w:r>
    </w:p>
    <w:p>
      <w:pPr>
        <w:pStyle w:val="Compact"/>
        <w:numPr>
          <w:ilvl w:val="0"/>
          <w:numId w:val="1070"/>
        </w:numPr>
      </w:pPr>
      <w:r>
        <w:t xml:space="preserve">deletion and retention commitments</w:t>
      </w:r>
    </w:p>
    <w:p>
      <w:pPr>
        <w:pStyle w:val="Compact"/>
        <w:numPr>
          <w:ilvl w:val="0"/>
          <w:numId w:val="1070"/>
        </w:numPr>
      </w:pPr>
      <w:r>
        <w:t xml:space="preserve">breach notification commitments</w:t>
      </w:r>
    </w:p>
    <w:p>
      <w:pPr>
        <w:pStyle w:val="Compact"/>
        <w:numPr>
          <w:ilvl w:val="0"/>
          <w:numId w:val="1070"/>
        </w:numPr>
      </w:pPr>
      <w:r>
        <w:t xml:space="preserve">support access model</w:t>
      </w:r>
    </w:p>
    <w:p>
      <w:pPr>
        <w:pStyle w:val="Compact"/>
        <w:numPr>
          <w:ilvl w:val="0"/>
          <w:numId w:val="1070"/>
        </w:numPr>
      </w:pPr>
      <w:r>
        <w:t xml:space="preserve">whether the provider uses its own subprocessors</w:t>
      </w:r>
    </w:p>
    <w:bookmarkEnd w:id="222"/>
    <w:bookmarkStart w:id="223" w:name="provider-status-categories"/>
    <w:p>
      <w:pPr>
        <w:pStyle w:val="Heading2"/>
      </w:pPr>
      <w:r>
        <w:t xml:space="preserve">4. Provider status categories</w:t>
      </w:r>
    </w:p>
    <w:p>
      <w:pPr>
        <w:pStyle w:val="FirstParagraph"/>
      </w:pPr>
      <w:r>
        <w:t xml:space="preserve">Use the following categories: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t xml:space="preserve">Approved</w:t>
            </w:r>
          </w:p>
        </w:tc>
        <w:tc>
          <w:tcPr/>
          <w:p>
            <w:pPr>
              <w:pStyle w:val="Compact"/>
            </w:pPr>
            <w:r>
              <w:t xml:space="preserve">Suitable for current use and documented</w:t>
            </w:r>
          </w:p>
        </w:tc>
      </w:tr>
      <w:tr>
        <w:tc>
          <w:tcPr/>
          <w:p>
            <w:pPr>
              <w:pStyle w:val="Compact"/>
            </w:pPr>
            <w:r>
              <w:t xml:space="preserve">Approved with limits</w:t>
            </w:r>
          </w:p>
        </w:tc>
        <w:tc>
          <w:tcPr/>
          <w:p>
            <w:pPr>
              <w:pStyle w:val="Compact"/>
            </w:pPr>
            <w:r>
              <w:t xml:space="preserve">Suitable only for defined use, with restrictions</w:t>
            </w:r>
          </w:p>
        </w:tc>
      </w:tr>
      <w:tr>
        <w:tc>
          <w:tcPr/>
          <w:p>
            <w:pPr>
              <w:pStyle w:val="Compact"/>
            </w:pPr>
            <w:r>
              <w:t xml:space="preserve">Pending review</w:t>
            </w:r>
          </w:p>
        </w:tc>
        <w:tc>
          <w:tcPr/>
          <w:p>
            <w:pPr>
              <w:pStyle w:val="Compact"/>
            </w:pPr>
            <w:r>
              <w:t xml:space="preserve">Not yet approved for Customer Personal Data</w:t>
            </w:r>
          </w:p>
        </w:tc>
      </w:tr>
      <w:tr>
        <w:tc>
          <w:tcPr/>
          <w:p>
            <w:pPr>
              <w:pStyle w:val="Compact"/>
            </w:pPr>
            <w:r>
              <w:t xml:space="preserve">Internal only</w:t>
            </w:r>
          </w:p>
        </w:tc>
        <w:tc>
          <w:tcPr/>
          <w:p>
            <w:pPr>
              <w:pStyle w:val="Compact"/>
            </w:pPr>
            <w:r>
              <w:t xml:space="preserve">May be used for internal work but not Customer Personal Data</w:t>
            </w:r>
          </w:p>
        </w:tc>
      </w:tr>
      <w:tr>
        <w:tc>
          <w:tcPr/>
          <w:p>
            <w:pPr>
              <w:pStyle w:val="Compact"/>
            </w:pPr>
            <w:r>
              <w:t xml:space="preserve">Do not use</w:t>
            </w:r>
          </w:p>
        </w:tc>
        <w:tc>
          <w:tcPr/>
          <w:p>
            <w:pPr>
              <w:pStyle w:val="Compact"/>
            </w:pPr>
            <w:r>
              <w:t xml:space="preserve">Not approved</w:t>
            </w:r>
          </w:p>
        </w:tc>
      </w:tr>
    </w:tbl>
    <w:bookmarkEnd w:id="223"/>
    <w:bookmarkStart w:id="224" w:name="ai-provider-rule"/>
    <w:p>
      <w:pPr>
        <w:pStyle w:val="Heading2"/>
      </w:pPr>
      <w:r>
        <w:t xml:space="preserve">5. AI provider rule</w:t>
      </w:r>
    </w:p>
    <w:p>
      <w:pPr>
        <w:pStyle w:val="FirstParagraph"/>
      </w:pPr>
      <w:r>
        <w:t xml:space="preserve">No Customer Personal Data should be submitted to an AI model provider unless:</w:t>
      </w:r>
    </w:p>
    <w:p>
      <w:pPr>
        <w:pStyle w:val="Compact"/>
        <w:numPr>
          <w:ilvl w:val="0"/>
          <w:numId w:val="1071"/>
        </w:numPr>
      </w:pPr>
      <w:r>
        <w:t xml:space="preserve">the provider has been reviewed</w:t>
      </w:r>
    </w:p>
    <w:p>
      <w:pPr>
        <w:pStyle w:val="Compact"/>
        <w:numPr>
          <w:ilvl w:val="0"/>
          <w:numId w:val="1071"/>
        </w:numPr>
      </w:pPr>
      <w:r>
        <w:t xml:space="preserve">a suitable DPA or equivalent agreement is in place</w:t>
      </w:r>
    </w:p>
    <w:p>
      <w:pPr>
        <w:pStyle w:val="Compact"/>
        <w:numPr>
          <w:ilvl w:val="0"/>
          <w:numId w:val="1071"/>
        </w:numPr>
      </w:pPr>
      <w:r>
        <w:t xml:space="preserve">model training position is understood and documented</w:t>
      </w:r>
    </w:p>
    <w:p>
      <w:pPr>
        <w:pStyle w:val="Compact"/>
        <w:numPr>
          <w:ilvl w:val="0"/>
          <w:numId w:val="1071"/>
        </w:numPr>
      </w:pPr>
      <w:r>
        <w:t xml:space="preserve">the subprocessor list has been updated if required</w:t>
      </w:r>
    </w:p>
    <w:p>
      <w:pPr>
        <w:pStyle w:val="Compact"/>
        <w:numPr>
          <w:ilvl w:val="0"/>
          <w:numId w:val="1071"/>
        </w:numPr>
      </w:pPr>
      <w:r>
        <w:t xml:space="preserve">customer terms cover the processing</w:t>
      </w:r>
    </w:p>
    <w:p>
      <w:pPr>
        <w:pStyle w:val="Compact"/>
        <w:numPr>
          <w:ilvl w:val="0"/>
          <w:numId w:val="1071"/>
        </w:numPr>
      </w:pPr>
      <w:r>
        <w:t xml:space="preserve">the customer has been informed where required</w:t>
      </w:r>
    </w:p>
    <w:p>
      <w:pPr>
        <w:pStyle w:val="Compact"/>
        <w:numPr>
          <w:ilvl w:val="0"/>
          <w:numId w:val="1071"/>
        </w:numPr>
      </w:pPr>
      <w:r>
        <w:t xml:space="preserve">the feature has been approved internally</w:t>
      </w:r>
    </w:p>
    <w:bookmarkEnd w:id="224"/>
    <w:bookmarkStart w:id="225" w:name="review-cadence"/>
    <w:p>
      <w:pPr>
        <w:pStyle w:val="Heading2"/>
      </w:pPr>
      <w:r>
        <w:t xml:space="preserve">6. Review cadence</w:t>
      </w:r>
    </w:p>
    <w:p>
      <w:pPr>
        <w:pStyle w:val="FirstParagraph"/>
      </w:pPr>
      <w:r>
        <w:t xml:space="preserve">Active subprocessors should be reviewed at least annually or when a material change occurs.</w:t>
      </w:r>
    </w:p>
    <w:bookmarkEnd w:id="225"/>
    <w:bookmarkStart w:id="226" w:name="record-keeping"/>
    <w:p>
      <w:pPr>
        <w:pStyle w:val="Heading2"/>
      </w:pPr>
      <w:r>
        <w:t xml:space="preserve">7. Record keeping</w:t>
      </w:r>
    </w:p>
    <w:p>
      <w:pPr>
        <w:pStyle w:val="FirstParagraph"/>
      </w:pPr>
      <w:r>
        <w:t xml:space="preserve">Maintain a supplier register with:</w:t>
      </w:r>
    </w:p>
    <w:p>
      <w:pPr>
        <w:pStyle w:val="Compact"/>
        <w:numPr>
          <w:ilvl w:val="0"/>
          <w:numId w:val="1072"/>
        </w:numPr>
      </w:pPr>
      <w:r>
        <w:t xml:space="preserve">provider name</w:t>
      </w:r>
    </w:p>
    <w:p>
      <w:pPr>
        <w:pStyle w:val="Compact"/>
        <w:numPr>
          <w:ilvl w:val="0"/>
          <w:numId w:val="1072"/>
        </w:numPr>
      </w:pPr>
      <w:r>
        <w:t xml:space="preserve">purpose</w:t>
      </w:r>
    </w:p>
    <w:p>
      <w:pPr>
        <w:pStyle w:val="Compact"/>
        <w:numPr>
          <w:ilvl w:val="0"/>
          <w:numId w:val="1072"/>
        </w:numPr>
      </w:pPr>
      <w:r>
        <w:t xml:space="preserve">data processed</w:t>
      </w:r>
    </w:p>
    <w:p>
      <w:pPr>
        <w:pStyle w:val="Compact"/>
        <w:numPr>
          <w:ilvl w:val="0"/>
          <w:numId w:val="1072"/>
        </w:numPr>
      </w:pPr>
      <w:r>
        <w:t xml:space="preserve">role</w:t>
      </w:r>
    </w:p>
    <w:p>
      <w:pPr>
        <w:pStyle w:val="Compact"/>
        <w:numPr>
          <w:ilvl w:val="0"/>
          <w:numId w:val="1072"/>
        </w:numPr>
      </w:pPr>
      <w:r>
        <w:t xml:space="preserve">contract link</w:t>
      </w:r>
    </w:p>
    <w:p>
      <w:pPr>
        <w:pStyle w:val="Compact"/>
        <w:numPr>
          <w:ilvl w:val="0"/>
          <w:numId w:val="1072"/>
        </w:numPr>
      </w:pPr>
      <w:r>
        <w:t xml:space="preserve">DPA link</w:t>
      </w:r>
    </w:p>
    <w:p>
      <w:pPr>
        <w:pStyle w:val="Compact"/>
        <w:numPr>
          <w:ilvl w:val="0"/>
          <w:numId w:val="1072"/>
        </w:numPr>
      </w:pPr>
      <w:r>
        <w:t xml:space="preserve">security documentation link</w:t>
      </w:r>
    </w:p>
    <w:p>
      <w:pPr>
        <w:pStyle w:val="Compact"/>
        <w:numPr>
          <w:ilvl w:val="0"/>
          <w:numId w:val="1072"/>
        </w:numPr>
      </w:pPr>
      <w:r>
        <w:t xml:space="preserve">review date</w:t>
      </w:r>
    </w:p>
    <w:p>
      <w:pPr>
        <w:pStyle w:val="Compact"/>
        <w:numPr>
          <w:ilvl w:val="0"/>
          <w:numId w:val="1072"/>
        </w:numPr>
      </w:pPr>
      <w:r>
        <w:t xml:space="preserve">next review date</w:t>
      </w:r>
    </w:p>
    <w:p>
      <w:pPr>
        <w:pStyle w:val="Compact"/>
        <w:numPr>
          <w:ilvl w:val="0"/>
          <w:numId w:val="1072"/>
        </w:numPr>
      </w:pPr>
      <w:r>
        <w:t xml:space="preserve">owner</w:t>
      </w:r>
    </w:p>
    <w:p>
      <w:pPr>
        <w:pStyle w:val="Compact"/>
        <w:numPr>
          <w:ilvl w:val="0"/>
          <w:numId w:val="1072"/>
        </w:numPr>
      </w:pPr>
      <w:r>
        <w:t xml:space="preserve">status</w:t>
      </w:r>
    </w:p>
    <w:p>
      <w:r>
        <w:pict>
          <v:rect style="width:0;height:1.5pt" o:hralign="center" o:hrstd="t" o:hr="t"/>
        </w:pict>
      </w:r>
    </w:p>
    <w:bookmarkEnd w:id="226"/>
    <w:bookmarkEnd w:id="227"/>
    <w:bookmarkStart w:id="234" w:name="record-of-processing-activities-summary"/>
    <w:p>
      <w:pPr>
        <w:pStyle w:val="Heading1"/>
      </w:pPr>
      <w:r>
        <w:t xml:space="preserve">18. Record of Processing Activities Summary</w:t>
      </w:r>
    </w:p>
    <w:p>
      <w:pPr>
        <w:pStyle w:val="FirstParagraph"/>
      </w:pPr>
      <w:r>
        <w:rPr>
          <w:b/>
          <w:bCs/>
        </w:rPr>
        <w:t xml:space="preserve">Suggested use:</w:t>
      </w:r>
      <w:r>
        <w:t xml:space="preserve"> </w:t>
      </w:r>
      <w:r>
        <w:t xml:space="preserve">internal register, not normally public.</w:t>
      </w:r>
    </w:p>
    <w:bookmarkStart w:id="228" w:name="Xd324864d83f8bb8eeaac5e9d3c579f6989f9f14"/>
    <w:p>
      <w:pPr>
        <w:pStyle w:val="Heading2"/>
      </w:pPr>
      <w:r>
        <w:t xml:space="preserve">Record of Processing Activities Summary</w:t>
      </w:r>
    </w:p>
    <w:p>
      <w:pPr>
        <w:pStyle w:val="FirstParagraph"/>
      </w:pPr>
      <w:r>
        <w:t xml:space="preserve">This section provides a practical starting point for Nineteen Point Two’s internal data map.</w:t>
      </w:r>
    </w:p>
    <w:bookmarkEnd w:id="228"/>
    <w:bookmarkStart w:id="229" w:name="X5265eae031e33f8c6f2c42a3c43ab3a65bf01e2"/>
    <w:p>
      <w:pPr>
        <w:pStyle w:val="Heading2"/>
      </w:pPr>
      <w:r>
        <w:t xml:space="preserve">Processing activity 1: Website and inbound enquiries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Purpose</w:t>
            </w:r>
          </w:p>
        </w:tc>
        <w:tc>
          <w:tcPr/>
          <w:p>
            <w:pPr>
              <w:pStyle w:val="Compact"/>
            </w:pPr>
            <w:r>
              <w:t xml:space="preserve">Respond to enquiries, manage website interactions, understand site performance</w:t>
            </w:r>
          </w:p>
        </w:tc>
      </w:tr>
      <w:tr>
        <w:tc>
          <w:tcPr/>
          <w:p>
            <w:pPr>
              <w:pStyle w:val="Compact"/>
            </w:pPr>
            <w:r>
              <w:t xml:space="preserve">Role</w:t>
            </w:r>
          </w:p>
        </w:tc>
        <w:tc>
          <w:tcPr/>
          <w:p>
            <w:pPr>
              <w:pStyle w:val="Compact"/>
            </w:pPr>
            <w:r>
              <w:t xml:space="preserve">Controller</w:t>
            </w:r>
          </w:p>
        </w:tc>
      </w:tr>
      <w:tr>
        <w:tc>
          <w:tcPr/>
          <w:p>
            <w:pPr>
              <w:pStyle w:val="Compact"/>
            </w:pPr>
            <w:r>
              <w:t xml:space="preserve">Data subjects</w:t>
            </w:r>
          </w:p>
        </w:tc>
        <w:tc>
          <w:tcPr/>
          <w:p>
            <w:pPr>
              <w:pStyle w:val="Compact"/>
            </w:pPr>
            <w:r>
              <w:t xml:space="preserve">Website visitors, prospects, inbound contacts</w:t>
            </w:r>
          </w:p>
        </w:tc>
      </w:tr>
      <w:tr>
        <w:tc>
          <w:tcPr/>
          <w:p>
            <w:pPr>
              <w:pStyle w:val="Compact"/>
            </w:pPr>
            <w:r>
              <w:t xml:space="preserve">Data</w:t>
            </w:r>
          </w:p>
        </w:tc>
        <w:tc>
          <w:tcPr/>
          <w:p>
            <w:pPr>
              <w:pStyle w:val="Compact"/>
            </w:pPr>
            <w:r>
              <w:t xml:space="preserve">Name, email, company, message content, IP address, device data, usage data</w:t>
            </w:r>
          </w:p>
        </w:tc>
      </w:tr>
      <w:tr>
        <w:tc>
          <w:tcPr/>
          <w:p>
            <w:pPr>
              <w:pStyle w:val="Compact"/>
            </w:pPr>
            <w:r>
              <w:t xml:space="preserve">Lawful basis</w:t>
            </w:r>
          </w:p>
        </w:tc>
        <w:tc>
          <w:tcPr/>
          <w:p>
            <w:pPr>
              <w:pStyle w:val="Compact"/>
            </w:pPr>
            <w:r>
              <w:t xml:space="preserve">Legitimate interests, contract steps, consent where required</w:t>
            </w:r>
          </w:p>
        </w:tc>
      </w:tr>
      <w:tr>
        <w:tc>
          <w:tcPr/>
          <w:p>
            <w:pPr>
              <w:pStyle w:val="Compact"/>
            </w:pPr>
            <w:r>
              <w:t xml:space="preserve">Recipients</w:t>
            </w:r>
          </w:p>
        </w:tc>
        <w:tc>
          <w:tcPr/>
          <w:p>
            <w:pPr>
              <w:pStyle w:val="Compact"/>
            </w:pPr>
            <w:r>
              <w:t xml:space="preserve">Website host, email provider, analytics provider</w:t>
            </w:r>
          </w:p>
        </w:tc>
      </w:tr>
      <w:tr>
        <w:tc>
          <w:tcPr/>
          <w:p>
            <w:pPr>
              <w:pStyle w:val="Compact"/>
            </w:pPr>
            <w:r>
              <w:t xml:space="preserve">Retention</w:t>
            </w:r>
          </w:p>
        </w:tc>
        <w:tc>
          <w:tcPr/>
          <w:p>
            <w:pPr>
              <w:pStyle w:val="Compact"/>
            </w:pPr>
            <w:r>
              <w:t xml:space="preserve">See retention policy</w:t>
            </w:r>
          </w:p>
        </w:tc>
      </w:tr>
    </w:tbl>
    <w:bookmarkEnd w:id="229"/>
    <w:bookmarkStart w:id="230" w:name="X51471770dc5126714177e6f30311779e893299a"/>
    <w:p>
      <w:pPr>
        <w:pStyle w:val="Heading2"/>
      </w:pPr>
      <w:r>
        <w:t xml:space="preserve">Processing activity 2: Sales and prospecting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Purpose</w:t>
            </w:r>
          </w:p>
        </w:tc>
        <w:tc>
          <w:tcPr/>
          <w:p>
            <w:pPr>
              <w:pStyle w:val="Compact"/>
            </w:pPr>
            <w:r>
              <w:t xml:space="preserve">Identify and contact relevant business prospects</w:t>
            </w:r>
          </w:p>
        </w:tc>
      </w:tr>
      <w:tr>
        <w:tc>
          <w:tcPr/>
          <w:p>
            <w:pPr>
              <w:pStyle w:val="Compact"/>
            </w:pPr>
            <w:r>
              <w:t xml:space="preserve">Role</w:t>
            </w:r>
          </w:p>
        </w:tc>
        <w:tc>
          <w:tcPr/>
          <w:p>
            <w:pPr>
              <w:pStyle w:val="Compact"/>
            </w:pPr>
            <w:r>
              <w:t xml:space="preserve">Controller</w:t>
            </w:r>
          </w:p>
        </w:tc>
      </w:tr>
      <w:tr>
        <w:tc>
          <w:tcPr/>
          <w:p>
            <w:pPr>
              <w:pStyle w:val="Compact"/>
            </w:pPr>
            <w:r>
              <w:t xml:space="preserve">Data subjects</w:t>
            </w:r>
          </w:p>
        </w:tc>
        <w:tc>
          <w:tcPr/>
          <w:p>
            <w:pPr>
              <w:pStyle w:val="Compact"/>
            </w:pPr>
            <w:r>
              <w:t xml:space="preserve">Business contacts and prospects</w:t>
            </w:r>
          </w:p>
        </w:tc>
      </w:tr>
      <w:tr>
        <w:tc>
          <w:tcPr/>
          <w:p>
            <w:pPr>
              <w:pStyle w:val="Compact"/>
            </w:pPr>
            <w:r>
              <w:t xml:space="preserve">Data</w:t>
            </w:r>
          </w:p>
        </w:tc>
        <w:tc>
          <w:tcPr/>
          <w:p>
            <w:pPr>
              <w:pStyle w:val="Compact"/>
            </w:pPr>
            <w:r>
              <w:t xml:space="preserve">Name, work email, job title, organisation, professional context, campaign activity</w:t>
            </w:r>
          </w:p>
        </w:tc>
      </w:tr>
      <w:tr>
        <w:tc>
          <w:tcPr/>
          <w:p>
            <w:pPr>
              <w:pStyle w:val="Compact"/>
            </w:pPr>
            <w:r>
              <w:t xml:space="preserve">Lawful basis</w:t>
            </w:r>
          </w:p>
        </w:tc>
        <w:tc>
          <w:tcPr/>
          <w:p>
            <w:pPr>
              <w:pStyle w:val="Compact"/>
            </w:pPr>
            <w:r>
              <w:t xml:space="preserve">Legitimate interests or consent where required</w:t>
            </w:r>
          </w:p>
        </w:tc>
      </w:tr>
      <w:tr>
        <w:tc>
          <w:tcPr/>
          <w:p>
            <w:pPr>
              <w:pStyle w:val="Compact"/>
            </w:pPr>
            <w:r>
              <w:t xml:space="preserve">Recipients</w:t>
            </w:r>
          </w:p>
        </w:tc>
        <w:tc>
          <w:tcPr/>
          <w:p>
            <w:pPr>
              <w:pStyle w:val="Compact"/>
            </w:pPr>
            <w:r>
              <w:t xml:space="preserve">Email provider, prospecting tool, CRM or tracking spreadsheet, Microsoft or Google tools</w:t>
            </w:r>
          </w:p>
        </w:tc>
      </w:tr>
      <w:tr>
        <w:tc>
          <w:tcPr/>
          <w:p>
            <w:pPr>
              <w:pStyle w:val="Compact"/>
            </w:pPr>
            <w:r>
              <w:t xml:space="preserve">Retention</w:t>
            </w:r>
          </w:p>
        </w:tc>
        <w:tc>
          <w:tcPr/>
          <w:p>
            <w:pPr>
              <w:pStyle w:val="Compact"/>
            </w:pPr>
            <w:r>
              <w:t xml:space="preserve">See retention policy and suppression list approach</w:t>
            </w:r>
          </w:p>
        </w:tc>
      </w:tr>
    </w:tbl>
    <w:bookmarkEnd w:id="230"/>
    <w:bookmarkStart w:id="231" w:name="X928c414dd2f5510027329f1718b45b7d47fb6f0"/>
    <w:p>
      <w:pPr>
        <w:pStyle w:val="Heading2"/>
      </w:pPr>
      <w:r>
        <w:t xml:space="preserve">Processing activity 3: Customer management and billing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Purpose</w:t>
            </w:r>
          </w:p>
        </w:tc>
        <w:tc>
          <w:tcPr/>
          <w:p>
            <w:pPr>
              <w:pStyle w:val="Compact"/>
            </w:pPr>
            <w:r>
              <w:t xml:space="preserve">Manage customer contracts, billing, support and renewal</w:t>
            </w:r>
          </w:p>
        </w:tc>
      </w:tr>
      <w:tr>
        <w:tc>
          <w:tcPr/>
          <w:p>
            <w:pPr>
              <w:pStyle w:val="Compact"/>
            </w:pPr>
            <w:r>
              <w:t xml:space="preserve">Role</w:t>
            </w:r>
          </w:p>
        </w:tc>
        <w:tc>
          <w:tcPr/>
          <w:p>
            <w:pPr>
              <w:pStyle w:val="Compact"/>
            </w:pPr>
            <w:r>
              <w:t xml:space="preserve">Controller</w:t>
            </w:r>
          </w:p>
        </w:tc>
      </w:tr>
      <w:tr>
        <w:tc>
          <w:tcPr/>
          <w:p>
            <w:pPr>
              <w:pStyle w:val="Compact"/>
            </w:pPr>
            <w:r>
              <w:t xml:space="preserve">Data subjects</w:t>
            </w:r>
          </w:p>
        </w:tc>
        <w:tc>
          <w:tcPr/>
          <w:p>
            <w:pPr>
              <w:pStyle w:val="Compact"/>
            </w:pPr>
            <w:r>
              <w:t xml:space="preserve">Customer contacts, billing contacts, decision makers, administrators</w:t>
            </w:r>
          </w:p>
        </w:tc>
      </w:tr>
      <w:tr>
        <w:tc>
          <w:tcPr/>
          <w:p>
            <w:pPr>
              <w:pStyle w:val="Compact"/>
            </w:pPr>
            <w:r>
              <w:t xml:space="preserve">Data</w:t>
            </w:r>
          </w:p>
        </w:tc>
        <w:tc>
          <w:tcPr/>
          <w:p>
            <w:pPr>
              <w:pStyle w:val="Compact"/>
            </w:pPr>
            <w:r>
              <w:t xml:space="preserve">Name, email, job title, organisation, contract records, billing records, communication history</w:t>
            </w:r>
          </w:p>
        </w:tc>
      </w:tr>
      <w:tr>
        <w:tc>
          <w:tcPr/>
          <w:p>
            <w:pPr>
              <w:pStyle w:val="Compact"/>
            </w:pPr>
            <w:r>
              <w:t xml:space="preserve">Lawful basis</w:t>
            </w:r>
          </w:p>
        </w:tc>
        <w:tc>
          <w:tcPr/>
          <w:p>
            <w:pPr>
              <w:pStyle w:val="Compact"/>
            </w:pPr>
            <w:r>
              <w:t xml:space="preserve">Contract, legal obligation, legitimate interests</w:t>
            </w:r>
          </w:p>
        </w:tc>
      </w:tr>
      <w:tr>
        <w:tc>
          <w:tcPr/>
          <w:p>
            <w:pPr>
              <w:pStyle w:val="Compact"/>
            </w:pPr>
            <w:r>
              <w:t xml:space="preserve">Recipients</w:t>
            </w:r>
          </w:p>
        </w:tc>
        <w:tc>
          <w:tcPr/>
          <w:p>
            <w:pPr>
              <w:pStyle w:val="Compact"/>
            </w:pPr>
            <w:r>
              <w:t xml:space="preserve">Email provider, accounting provider, document storage, professional advisers</w:t>
            </w:r>
          </w:p>
        </w:tc>
      </w:tr>
      <w:tr>
        <w:tc>
          <w:tcPr/>
          <w:p>
            <w:pPr>
              <w:pStyle w:val="Compact"/>
            </w:pPr>
            <w:r>
              <w:t xml:space="preserve">Retention</w:t>
            </w:r>
          </w:p>
        </w:tc>
        <w:tc>
          <w:tcPr/>
          <w:p>
            <w:pPr>
              <w:pStyle w:val="Compact"/>
            </w:pPr>
            <w:r>
              <w:t xml:space="preserve">See retention policy</w:t>
            </w:r>
          </w:p>
        </w:tc>
      </w:tr>
    </w:tbl>
    <w:bookmarkEnd w:id="231"/>
    <w:bookmarkStart w:id="232" w:name="X11ca1438690878aca09c4f9f73030a17d56ffff"/>
    <w:p>
      <w:pPr>
        <w:pStyle w:val="Heading2"/>
      </w:pPr>
      <w:r>
        <w:t xml:space="preserve">Processing activity 4: WAIA platform delivery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Purpose</w:t>
            </w:r>
          </w:p>
        </w:tc>
        <w:tc>
          <w:tcPr/>
          <w:p>
            <w:pPr>
              <w:pStyle w:val="Compact"/>
            </w:pPr>
            <w:r>
              <w:t xml:space="preserve">Provide WAIA access, learning, guidance acknowledgement and reporting</w:t>
            </w:r>
          </w:p>
        </w:tc>
      </w:tr>
      <w:tr>
        <w:tc>
          <w:tcPr/>
          <w:p>
            <w:pPr>
              <w:pStyle w:val="Compact"/>
            </w:pPr>
            <w:r>
              <w:t xml:space="preserve">Role</w:t>
            </w:r>
          </w:p>
        </w:tc>
        <w:tc>
          <w:tcPr/>
          <w:p>
            <w:pPr>
              <w:pStyle w:val="Compact"/>
            </w:pPr>
            <w:r>
              <w:t xml:space="preserve">Processor for Customer Personal Data</w:t>
            </w:r>
          </w:p>
        </w:tc>
      </w:tr>
      <w:tr>
        <w:tc>
          <w:tcPr/>
          <w:p>
            <w:pPr>
              <w:pStyle w:val="Compact"/>
            </w:pPr>
            <w:r>
              <w:t xml:space="preserve">Data subjects</w:t>
            </w:r>
          </w:p>
        </w:tc>
        <w:tc>
          <w:tcPr/>
          <w:p>
            <w:pPr>
              <w:pStyle w:val="Compact"/>
            </w:pPr>
            <w:r>
              <w:t xml:space="preserve">Learners, organisation administrators, customer users</w:t>
            </w:r>
          </w:p>
        </w:tc>
      </w:tr>
      <w:tr>
        <w:tc>
          <w:tcPr/>
          <w:p>
            <w:pPr>
              <w:pStyle w:val="Compact"/>
            </w:pPr>
            <w:r>
              <w:t xml:space="preserve">Data</w:t>
            </w:r>
          </w:p>
        </w:tc>
        <w:tc>
          <w:tcPr/>
          <w:p>
            <w:pPr>
              <w:pStyle w:val="Compact"/>
            </w:pPr>
            <w:r>
              <w:t xml:space="preserve">Name, email, organisation, role, invitation status, progress, completion, assessments, acknowledgements, logs</w:t>
            </w:r>
          </w:p>
        </w:tc>
      </w:tr>
      <w:tr>
        <w:tc>
          <w:tcPr/>
          <w:p>
            <w:pPr>
              <w:pStyle w:val="Compact"/>
            </w:pPr>
            <w:r>
              <w:t xml:space="preserve">Lawful basis</w:t>
            </w:r>
          </w:p>
        </w:tc>
        <w:tc>
          <w:tcPr/>
          <w:p>
            <w:pPr>
              <w:pStyle w:val="Compact"/>
            </w:pPr>
            <w:r>
              <w:t xml:space="preserve">Determined by customer as controller</w:t>
            </w:r>
          </w:p>
        </w:tc>
      </w:tr>
      <w:tr>
        <w:tc>
          <w:tcPr/>
          <w:p>
            <w:pPr>
              <w:pStyle w:val="Compact"/>
            </w:pPr>
            <w:r>
              <w:t xml:space="preserve">Recipients</w:t>
            </w:r>
          </w:p>
        </w:tc>
        <w:tc>
          <w:tcPr/>
          <w:p>
            <w:pPr>
              <w:pStyle w:val="Compact"/>
            </w:pPr>
            <w:r>
              <w:t xml:space="preserve">Lovable, Supabase, hosting, infrastructure and support providers</w:t>
            </w:r>
          </w:p>
        </w:tc>
      </w:tr>
      <w:tr>
        <w:tc>
          <w:tcPr/>
          <w:p>
            <w:pPr>
              <w:pStyle w:val="Compact"/>
            </w:pPr>
            <w:r>
              <w:t xml:space="preserve">Retention</w:t>
            </w:r>
          </w:p>
        </w:tc>
        <w:tc>
          <w:tcPr/>
          <w:p>
            <w:pPr>
              <w:pStyle w:val="Compact"/>
            </w:pPr>
            <w:r>
              <w:t xml:space="preserve">Customer agreement and retention policy</w:t>
            </w:r>
          </w:p>
        </w:tc>
      </w:tr>
    </w:tbl>
    <w:bookmarkEnd w:id="232"/>
    <w:bookmarkStart w:id="233" w:name="X63522c4afc5d2818d35bd0bc7278319364fd4fb"/>
    <w:p>
      <w:pPr>
        <w:pStyle w:val="Heading2"/>
      </w:pPr>
      <w:r>
        <w:t xml:space="preserve">Processing activity 5: Support and security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Purpose</w:t>
            </w:r>
          </w:p>
        </w:tc>
        <w:tc>
          <w:tcPr/>
          <w:p>
            <w:pPr>
              <w:pStyle w:val="Compact"/>
            </w:pPr>
            <w:r>
              <w:t xml:space="preserve">Resolve issues, protect the platform, investigate incidents</w:t>
            </w:r>
          </w:p>
        </w:tc>
      </w:tr>
      <w:tr>
        <w:tc>
          <w:tcPr/>
          <w:p>
            <w:pPr>
              <w:pStyle w:val="Compact"/>
            </w:pPr>
            <w:r>
              <w:t xml:space="preserve">Role</w:t>
            </w:r>
          </w:p>
        </w:tc>
        <w:tc>
          <w:tcPr/>
          <w:p>
            <w:pPr>
              <w:pStyle w:val="Compact"/>
            </w:pPr>
            <w:r>
              <w:t xml:space="preserve">Controller or processor depending on context</w:t>
            </w:r>
          </w:p>
        </w:tc>
      </w:tr>
      <w:tr>
        <w:tc>
          <w:tcPr/>
          <w:p>
            <w:pPr>
              <w:pStyle w:val="Compact"/>
            </w:pPr>
            <w:r>
              <w:t xml:space="preserve">Data subjects</w:t>
            </w:r>
          </w:p>
        </w:tc>
        <w:tc>
          <w:tcPr/>
          <w:p>
            <w:pPr>
              <w:pStyle w:val="Compact"/>
            </w:pPr>
            <w:r>
              <w:t xml:space="preserve">Customers, learners, administrators, website users</w:t>
            </w:r>
          </w:p>
        </w:tc>
      </w:tr>
      <w:tr>
        <w:tc>
          <w:tcPr/>
          <w:p>
            <w:pPr>
              <w:pStyle w:val="Compact"/>
            </w:pPr>
            <w:r>
              <w:t xml:space="preserve">Data</w:t>
            </w:r>
          </w:p>
        </w:tc>
        <w:tc>
          <w:tcPr/>
          <w:p>
            <w:pPr>
              <w:pStyle w:val="Compact"/>
            </w:pPr>
            <w:r>
              <w:t xml:space="preserve">Contact details, support messages, screenshots, logs, IP addresses, account metadata</w:t>
            </w:r>
          </w:p>
        </w:tc>
      </w:tr>
      <w:tr>
        <w:tc>
          <w:tcPr/>
          <w:p>
            <w:pPr>
              <w:pStyle w:val="Compact"/>
            </w:pPr>
            <w:r>
              <w:t xml:space="preserve">Lawful basis</w:t>
            </w:r>
          </w:p>
        </w:tc>
        <w:tc>
          <w:tcPr/>
          <w:p>
            <w:pPr>
              <w:pStyle w:val="Compact"/>
            </w:pPr>
            <w:r>
              <w:t xml:space="preserve">Contract, legitimate interests, legal obligation, customer instruction where processor</w:t>
            </w:r>
          </w:p>
        </w:tc>
      </w:tr>
      <w:tr>
        <w:tc>
          <w:tcPr/>
          <w:p>
            <w:pPr>
              <w:pStyle w:val="Compact"/>
            </w:pPr>
            <w:r>
              <w:t xml:space="preserve">Recipients</w:t>
            </w:r>
          </w:p>
        </w:tc>
        <w:tc>
          <w:tcPr/>
          <w:p>
            <w:pPr>
              <w:pStyle w:val="Compact"/>
            </w:pPr>
            <w:r>
              <w:t xml:space="preserve">Support tools, infrastructure providers, professional advisers where needed</w:t>
            </w:r>
          </w:p>
        </w:tc>
      </w:tr>
      <w:tr>
        <w:tc>
          <w:tcPr/>
          <w:p>
            <w:pPr>
              <w:pStyle w:val="Compact"/>
            </w:pPr>
            <w:r>
              <w:t xml:space="preserve">Retention</w:t>
            </w:r>
          </w:p>
        </w:tc>
        <w:tc>
          <w:tcPr/>
          <w:p>
            <w:pPr>
              <w:pStyle w:val="Compact"/>
            </w:pPr>
            <w:r>
              <w:t xml:space="preserve">See retention policy</w:t>
            </w:r>
          </w:p>
        </w:tc>
      </w:tr>
    </w:tbl>
    <w:p>
      <w:r>
        <w:pict>
          <v:rect style="width:0;height:1.5pt" o:hralign="center" o:hrstd="t" o:hr="t"/>
        </w:pict>
      </w:r>
    </w:p>
    <w:bookmarkEnd w:id="233"/>
    <w:bookmarkEnd w:id="234"/>
    <w:bookmarkStart w:id="235" w:name="version-history"/>
    <w:p>
      <w:pPr>
        <w:pStyle w:val="Heading1"/>
      </w:pPr>
      <w:r>
        <w:t xml:space="preserve">19. Version History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w:t>
            </w:r>
          </w:p>
        </w:tc>
      </w:tr>
      <w:tr>
        <w:tc>
          <w:tcPr/>
          <w:p>
            <w:pPr>
              <w:pStyle w:val="Compact"/>
            </w:pPr>
            <w:r>
              <w:t xml:space="preserve">0.1</w:t>
            </w:r>
          </w:p>
        </w:tc>
        <w:tc>
          <w:tcPr/>
          <w:p>
            <w:pPr>
              <w:pStyle w:val="Compact"/>
            </w:pPr>
            <w:r>
              <w:t xml:space="preserve">27 May 2026</w:t>
            </w:r>
          </w:p>
        </w:tc>
        <w:tc>
          <w:tcPr/>
          <w:p>
            <w:pPr>
              <w:pStyle w:val="Compact"/>
            </w:pPr>
            <w:r>
              <w:t xml:space="preserve">Initial working draft</w:t>
            </w:r>
          </w:p>
        </w:tc>
      </w:tr>
      <w:tr>
        <w:tc>
          <w:tcPr/>
          <w:p>
            <w:pPr>
              <w:pStyle w:val="Compact"/>
            </w:pPr>
            <w:r>
              <w:t xml:space="preserve">0.2</w:t>
            </w:r>
          </w:p>
        </w:tc>
        <w:tc>
          <w:tcPr/>
          <w:p>
            <w:pPr>
              <w:pStyle w:val="Compact"/>
            </w:pPr>
            <w:r>
              <w:t xml:space="preserve">27 May 2026</w:t>
            </w:r>
          </w:p>
        </w:tc>
        <w:tc>
          <w:tcPr/>
          <w:p>
            <w:pPr>
              <w:pStyle w:val="Compact"/>
            </w:pPr>
            <w:r>
              <w:t xml:space="preserve">Added website terms, security summary, retention policy, incident process, supplier review process and processing activity summary</w:t>
            </w:r>
          </w:p>
        </w:tc>
      </w:tr>
      <w:tr>
        <w:tc>
          <w:tcPr/>
          <w:p>
            <w:pPr>
              <w:pStyle w:val="Compact"/>
            </w:pPr>
            <w:r>
              <w:t xml:space="preserve">0.3</w:t>
            </w:r>
          </w:p>
        </w:tc>
        <w:tc>
          <w:tcPr/>
          <w:p>
            <w:pPr>
              <w:pStyle w:val="Compact"/>
            </w:pPr>
            <w:r>
              <w:t xml:space="preserve">27 May 2026</w:t>
            </w:r>
          </w:p>
        </w:tc>
        <w:tc>
          <w:tcPr/>
          <w:p>
            <w:pPr>
              <w:pStyle w:val="Compact"/>
            </w:pPr>
            <w:r>
              <w:t xml:space="preserve">Added confirmed entity details, contact email, payment terms, known tooling, default retention position and updated supplier posture</w:t>
            </w:r>
          </w:p>
        </w:tc>
      </w:tr>
      <w:tr>
        <w:tc>
          <w:tcPr/>
          <w:p>
            <w:pPr>
              <w:pStyle w:val="Compact"/>
            </w:pPr>
            <w:r>
              <w:t xml:space="preserve">0.4</w:t>
            </w:r>
          </w:p>
        </w:tc>
        <w:tc>
          <w:tcPr/>
          <w:p>
            <w:pPr>
              <w:pStyle w:val="Compact"/>
            </w:pPr>
            <w:r>
              <w:t xml:space="preserve">27 May 2026</w:t>
            </w:r>
          </w:p>
        </w:tc>
        <w:tc>
          <w:tcPr/>
          <w:p>
            <w:pPr>
              <w:pStyle w:val="Compact"/>
            </w:pPr>
            <w:r>
              <w:t xml:space="preserve">Clarified Lovable Cloud standard position, Supabase infrastructure chain and Cloudflare confirmation boundary</w:t>
            </w:r>
          </w:p>
        </w:tc>
      </w:tr>
    </w:tbl>
    <w:bookmarkEnd w:id="2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2026-05-27T14:11:58Z</dcterms:created>
  <dcterms:modified xsi:type="dcterms:W3CDTF">2026-05-27T14:11:58Z</dcterms:modified>
</cp:coreProperties>
</file>

<file path=docProps/custom.xml><?xml version="1.0" encoding="utf-8"?>
<Properties xmlns="http://schemas.openxmlformats.org/officeDocument/2006/custom-properties" xmlns:vt="http://schemas.openxmlformats.org/officeDocument/2006/docPropsVTypes"/>
</file>