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Vision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A - Architecture Vision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Describes the high-level vision of the target enterprise architecture, its business value, and the scope of the engagement.</w:t>
      </w:r>
    </w:p>
    <w:p>
      <w:pPr>
        <w:pStyle w:val="Heading1"/>
      </w:pPr>
      <w:r>
        <w:t>Scope</w:t>
      </w:r>
    </w:p>
    <w:p>
      <w:pPr>
        <w:pStyle w:val="Heading3"/>
      </w:pPr>
      <w:r>
        <w:t>Engagement type</w:t>
      </w:r>
    </w:p>
    <w:p>
      <w:r>
        <w:t>Existing enterprise transformation</w:t>
      </w:r>
    </w:p>
    <w:p>
      <w:pPr>
        <w:pStyle w:val="Heading3"/>
      </w:pPr>
      <w:r>
        <w:t>Industry sector</w:t>
      </w:r>
    </w:p>
    <w:p>
      <w:r>
        <w:t>Manufacturing (Discrete)</w:t>
      </w:r>
    </w:p>
    <w:p>
      <w:pPr>
        <w:pStyle w:val="Heading3"/>
      </w:pPr>
      <w:r>
        <w:t>Company size</w:t>
      </w:r>
    </w:p>
    <w:p>
      <w:r>
        <w:t>Small (&lt; 250 employees)</w:t>
      </w:r>
    </w:p>
    <w:p>
      <w:pPr>
        <w:pStyle w:val="Heading3"/>
      </w:pPr>
      <w:r>
        <w:t>Geographic scope</w:t>
      </w:r>
    </w:p>
    <w:p>
      <w:r>
        <w:t>Single country / single site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