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and Migration Plan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F - Migration Planning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approach to move from the baseline to the target architecture, including work packages and sequencing.</w:t>
      </w:r>
    </w:p>
    <w:p>
      <w:pPr>
        <w:pStyle w:val="Heading1"/>
      </w:pPr>
      <w:r>
        <w:t>Scope</w:t>
      </w:r>
    </w:p>
    <w:p>
      <w:pPr>
        <w:pStyle w:val="Heading3"/>
      </w:pPr>
      <w:r>
        <w:t>Current ERP / core system landscape</w:t>
      </w:r>
    </w:p>
    <w:p>
      <w:pPr>
        <w:pStyle w:val="ListBullet"/>
      </w:pPr>
      <w:r>
        <w:t>Non-SAP ERP (e.g. Oracle, Microsoft Dynamics, Infor)</w:t>
      </w:r>
    </w:p>
    <w:p>
      <w:pPr>
        <w:pStyle w:val="Heading3"/>
      </w:pPr>
      <w:r>
        <w:t>Current issues / pain points</w:t>
      </w:r>
    </w:p>
    <w:p>
      <w:pPr>
        <w:pStyle w:val="ListBullet"/>
      </w:pPr>
      <w:r>
        <w:t>High total cost of ownership / maintenance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