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Architecture Work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A - Architecture Vision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Engagement type</w:t>
      </w:r>
    </w:p>
    <w:p>
      <w:r>
        <w:t>Existing enterprise transformation</w:t>
      </w:r>
    </w:p>
    <w:p>
      <w:pPr>
        <w:pStyle w:val="Heading3"/>
      </w:pPr>
      <w:r>
        <w:t>Strategic drivers</w:t>
      </w:r>
    </w:p>
    <w:p>
      <w:pPr>
        <w:pStyle w:val="ListBullet"/>
      </w:pPr>
      <w:r>
        <w:t>Cost reduction &amp; operational efficiency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