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E74B5"/>
          <w:sz w:val="24"/>
          <w:szCs w:val="24"/>
        </w:rPr>
        <w:t xml:space="preserve">SAP RISE with SAP S/4HANA Cloud</w:t>
      </w:r>
    </w:p>
    <w:p>
      <w:pPr>
        <w:spacing w:after="400"/>
      </w:pPr>
      <w:r>
        <w:rPr>
          <w:b/>
          <w:bCs/>
          <w:color w:val="1F3864"/>
          <w:sz w:val="56"/>
          <w:szCs w:val="56"/>
        </w:rPr>
        <w:t xml:space="preserve">Architecture Vision</w:t>
      </w:r>
    </w:p>
    <w:p>
      <w:pPr>
        <w:spacing w:after="1200"/>
      </w:pPr>
      <w:r>
        <w:rPr>
          <w:i/>
          <w:iCs/>
          <w:color w:val="595959"/>
          <w:sz w:val="28"/>
          <w:szCs w:val="28"/>
        </w:rPr>
        <w:t xml:space="preserve">Centralized Identity &amp; Access Management – TOGAF ADM Phase 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6500"/>
            <w:shd w:fill="1F3864" w:val="clear"/>
            <w:tcMar>
              <w:top w:type="dxa" w:w="80"/>
              <w:left w:type="dxa" w:w="120"/>
              <w:bottom w:type="dxa" w:w="80"/>
              <w:right w:type="dxa" w:w="120"/>
            </w:tcMar>
            <w:vAlign w:val="center"/>
          </w:tcPr>
          <w:p>
            <w:r>
              <w:rPr>
                <w:b/>
                <w:bCs/>
                <w:color w:val="FFFFFF"/>
                <w:sz w:val="20"/>
                <w:szCs w:val="20"/>
              </w:rPr>
              <w:t xml:space="preserve">Value</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Programme</w:t>
            </w:r>
          </w:p>
        </w:tc>
        <w:tc>
          <w:tcPr>
            <w:tcW w:type="dxa" w:w="6500"/>
            <w:tcMar>
              <w:top w:type="dxa" w:w="80"/>
              <w:left w:type="dxa" w:w="120"/>
              <w:bottom w:type="dxa" w:w="80"/>
              <w:right w:type="dxa" w:w="120"/>
            </w:tcMar>
            <w:vAlign w:val="center"/>
          </w:tcPr>
          <w:p>
            <w:r>
              <w:rPr>
                <w:b w:val="false"/>
                <w:bCs w:val="false"/>
                <w:color w:val="000000"/>
                <w:sz w:val="20"/>
                <w:szCs w:val="20"/>
              </w:rPr>
              <w:t xml:space="preserve">SAP RISE with SAP S/4HANA Cloud – Enterprise Transformation</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TOGAF ADM Phase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Phase A – Architecture Vision</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Architecture Repository</w:t>
            </w:r>
          </w:p>
        </w:tc>
        <w:tc>
          <w:tcPr>
            <w:tcW w:type="dxa" w:w="6500"/>
            <w:tcMar>
              <w:top w:type="dxa" w:w="80"/>
              <w:left w:type="dxa" w:w="120"/>
              <w:bottom w:type="dxa" w:w="80"/>
              <w:right w:type="dxa" w:w="120"/>
            </w:tcMar>
            <w:vAlign w:val="center"/>
          </w:tcPr>
          <w:p>
            <w:r>
              <w:rPr>
                <w:b w:val="false"/>
                <w:bCs w:val="false"/>
                <w:color w:val="000000"/>
                <w:sz w:val="20"/>
                <w:szCs w:val="20"/>
              </w:rPr>
              <w:t xml:space="preserve">SAP Centralized IAM Repository (ArchiMate 3.x model)</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Document Status</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Draft for Review</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Version</w:t>
            </w:r>
          </w:p>
        </w:tc>
        <w:tc>
          <w:tcPr>
            <w:tcW w:type="dxa" w:w="6500"/>
            <w:tcMar>
              <w:top w:type="dxa" w:w="80"/>
              <w:left w:type="dxa" w:w="120"/>
              <w:bottom w:type="dxa" w:w="80"/>
              <w:right w:type="dxa" w:w="120"/>
            </w:tcMar>
            <w:vAlign w:val="center"/>
          </w:tcPr>
          <w:p>
            <w:r>
              <w:rPr>
                <w:b w:val="false"/>
                <w:bCs w:val="false"/>
                <w:color w:val="000000"/>
                <w:sz w:val="20"/>
                <w:szCs w:val="20"/>
              </w:rPr>
              <w:t xml:space="preserve">0.1</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2026-08-13</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Prepared By</w:t>
            </w:r>
          </w:p>
        </w:tc>
        <w:tc>
          <w:tcPr>
            <w:tcW w:type="dxa" w:w="6500"/>
            <w:tcMar>
              <w:top w:type="dxa" w:w="80"/>
              <w:left w:type="dxa" w:w="120"/>
              <w:bottom w:type="dxa" w:w="80"/>
              <w:right w:type="dxa" w:w="120"/>
            </w:tcMar>
            <w:vAlign w:val="center"/>
          </w:tcPr>
          <w:p>
            <w:r>
              <w:rPr>
                <w:b w:val="false"/>
                <w:bCs w:val="false"/>
                <w:color w:val="000000"/>
                <w:sz w:val="20"/>
                <w:szCs w:val="20"/>
              </w:rPr>
              <w:t xml:space="preserve">Enterprise Architecture Team</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Classification</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Internal</w:t>
            </w:r>
          </w:p>
        </w:tc>
      </w:tr>
    </w:tbl>
    <w:p>
      <w:r>
        <w:br w:type="page"/>
      </w:r>
    </w:p>
    <w:p>
      <w:pPr>
        <w:pStyle w:val="Heading1"/>
        <w:spacing w:after="160" w:before="360"/>
      </w:pPr>
      <w:r>
        <w:rPr>
          <w:color w:val="1F3864"/>
        </w:rPr>
        <w:t xml:space="preserve">1. Introduction</w:t>
      </w:r>
    </w:p>
    <w:p>
      <w:pPr>
        <w:spacing w:after="160"/>
      </w:pPr>
      <w:r>
        <w:rPr>
          <w:b w:val="false"/>
          <w:bCs w:val="false"/>
          <w:i w:val="false"/>
          <w:iCs w:val="false"/>
        </w:rPr>
        <w:t xml:space="preserve">This Architecture Vision defines the scope, stakeholders, and outcomes for the Centralized Identity and Access Management (IAM) sub-project: Microsoft Azure Active Directory (Azure AD) as the single master identity source, federated for Single Sign-On via SAP Identity Authentication Service (IAS), and provisioned into target applications via SAP Identity Provisioning Service (IPS). It is derived directly from the SAP Centralized IAM Repository (ArchiMate model).</w:t>
      </w:r>
    </w:p>
    <w:p>
      <w:pPr>
        <w:pStyle w:val="Heading1"/>
        <w:spacing w:after="160" w:before="360"/>
      </w:pPr>
      <w:r>
        <w:rPr>
          <w:color w:val="1F3864"/>
        </w:rPr>
        <w:t xml:space="preserve">2. Problem Statement</w:t>
      </w:r>
    </w:p>
    <w:p>
      <w:pPr>
        <w:spacing w:after="160"/>
      </w:pPr>
      <w:r>
        <w:rPr>
          <w:b w:val="false"/>
          <w:bCs w:val="false"/>
          <w:i w:val="false"/>
          <w:iCs w:val="false"/>
        </w:rPr>
        <w:t xml:space="preserve">SAP S/4HANA Cloud and SAP SuccessFactors – each spanning Development, Acceptance, and Production landscape stages – currently manage their own local user stores independently. This results in six separate points of manual user administration, inconsistent access governance, slow onboarding and offboarding, and no single source of truth for access. This is captured as the “Baseline Architecture (Decentralized User Management)” plateau in the repository.</w:t>
      </w:r>
    </w:p>
    <w:p>
      <w:pPr>
        <w:pStyle w:val="Heading1"/>
        <w:spacing w:after="160" w:before="360"/>
      </w:pPr>
      <w:r>
        <w:rPr>
          <w:color w:val="1F3864"/>
        </w:rPr>
        <w:t xml:space="preserve">3.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1F3864" w:val="clear"/>
            <w:tcMar>
              <w:top w:type="dxa" w:w="80"/>
              <w:left w:type="dxa" w:w="120"/>
              <w:bottom w:type="dxa" w:w="80"/>
              <w:right w:type="dxa" w:w="120"/>
            </w:tcMar>
            <w:vAlign w:val="center"/>
          </w:tcPr>
          <w:p>
            <w:r>
              <w:rPr>
                <w:b/>
                <w:bCs/>
                <w:color w:val="FFFFFF"/>
                <w:sz w:val="20"/>
                <w:szCs w:val="20"/>
              </w:rPr>
              <w:t xml:space="preserve">Stakeholder</w:t>
            </w:r>
          </w:p>
        </w:tc>
        <w:tc>
          <w:tcPr>
            <w:tcW w:type="dxa" w:w="5200"/>
            <w:shd w:fill="1F3864" w:val="clear"/>
            <w:tcMar>
              <w:top w:type="dxa" w:w="80"/>
              <w:left w:type="dxa" w:w="120"/>
              <w:bottom w:type="dxa" w:w="80"/>
              <w:right w:type="dxa" w:w="120"/>
            </w:tcMar>
            <w:vAlign w:val="center"/>
          </w:tcPr>
          <w:p>
            <w:r>
              <w:rPr>
                <w:b/>
                <w:bCs/>
                <w:color w:val="FFFFFF"/>
                <w:sz w:val="20"/>
                <w:szCs w:val="20"/>
              </w:rPr>
              <w:t xml:space="preserve">Concern</w:t>
            </w:r>
          </w:p>
        </w:tc>
      </w:tr>
      <w:tr>
        <w:tc>
          <w:tcPr>
            <w:tcW w:type="dxa" w:w="3800"/>
            <w:tcMar>
              <w:top w:type="dxa" w:w="80"/>
              <w:left w:type="dxa" w:w="120"/>
              <w:bottom w:type="dxa" w:w="80"/>
              <w:right w:type="dxa" w:w="120"/>
            </w:tcMar>
            <w:vAlign w:val="center"/>
          </w:tcPr>
          <w:p>
            <w:r>
              <w:rPr>
                <w:b w:val="false"/>
                <w:bCs w:val="false"/>
                <w:color w:val="000000"/>
                <w:sz w:val="20"/>
                <w:szCs w:val="20"/>
              </w:rPr>
              <w:t xml:space="preserve">CISO</w:t>
            </w:r>
          </w:p>
        </w:tc>
        <w:tc>
          <w:tcPr>
            <w:tcW w:type="dxa" w:w="52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800"/>
            <w:shd w:fill="F2F2F2" w:val="clear"/>
            <w:tcMar>
              <w:top w:type="dxa" w:w="80"/>
              <w:left w:type="dxa" w:w="120"/>
              <w:bottom w:type="dxa" w:w="80"/>
              <w:right w:type="dxa" w:w="120"/>
            </w:tcMar>
            <w:vAlign w:val="center"/>
          </w:tcPr>
          <w:p>
            <w:r>
              <w:rPr>
                <w:b w:val="false"/>
                <w:bCs w:val="false"/>
                <w:color w:val="000000"/>
                <w:sz w:val="20"/>
                <w:szCs w:val="20"/>
              </w:rPr>
              <w:t xml:space="preserve">IT Security Officer</w:t>
            </w:r>
          </w:p>
        </w:tc>
        <w:tc>
          <w:tcPr>
            <w:tcW w:type="dxa" w:w="52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800"/>
            <w:tcMar>
              <w:top w:type="dxa" w:w="80"/>
              <w:left w:type="dxa" w:w="120"/>
              <w:bottom w:type="dxa" w:w="80"/>
              <w:right w:type="dxa" w:w="120"/>
            </w:tcMar>
            <w:vAlign w:val="center"/>
          </w:tcPr>
          <w:p>
            <w:r>
              <w:rPr>
                <w:b w:val="false"/>
                <w:bCs w:val="false"/>
                <w:color w:val="000000"/>
                <w:sz w:val="20"/>
                <w:szCs w:val="20"/>
              </w:rPr>
              <w:t xml:space="preserve">Identity &amp; Access Management Lead</w:t>
            </w:r>
          </w:p>
        </w:tc>
        <w:tc>
          <w:tcPr>
            <w:tcW w:type="dxa" w:w="52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800"/>
            <w:shd w:fill="F2F2F2" w:val="clear"/>
            <w:tcMar>
              <w:top w:type="dxa" w:w="80"/>
              <w:left w:type="dxa" w:w="120"/>
              <w:bottom w:type="dxa" w:w="80"/>
              <w:right w:type="dxa" w:w="120"/>
            </w:tcMar>
            <w:vAlign w:val="center"/>
          </w:tcPr>
          <w:p>
            <w:r>
              <w:rPr>
                <w:b w:val="false"/>
                <w:bCs w:val="false"/>
                <w:color w:val="000000"/>
                <w:sz w:val="20"/>
                <w:szCs w:val="20"/>
              </w:rPr>
              <w:t xml:space="preserve">SAP Basis Team Lead</w:t>
            </w:r>
          </w:p>
        </w:tc>
        <w:tc>
          <w:tcPr>
            <w:tcW w:type="dxa" w:w="52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800"/>
            <w:tcMar>
              <w:top w:type="dxa" w:w="80"/>
              <w:left w:type="dxa" w:w="120"/>
              <w:bottom w:type="dxa" w:w="80"/>
              <w:right w:type="dxa" w:w="120"/>
            </w:tcMar>
            <w:vAlign w:val="center"/>
          </w:tcPr>
          <w:p>
            <w:r>
              <w:rPr>
                <w:b w:val="false"/>
                <w:bCs w:val="false"/>
                <w:color w:val="000000"/>
                <w:sz w:val="20"/>
                <w:szCs w:val="20"/>
              </w:rPr>
              <w:t xml:space="preserve">HR System Owner (SuccessFactors)</w:t>
            </w:r>
          </w:p>
        </w:tc>
        <w:tc>
          <w:tcPr>
            <w:tcW w:type="dxa" w:w="52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800"/>
            <w:shd w:fill="F2F2F2" w:val="clear"/>
            <w:tcMar>
              <w:top w:type="dxa" w:w="80"/>
              <w:left w:type="dxa" w:w="120"/>
              <w:bottom w:type="dxa" w:w="80"/>
              <w:right w:type="dxa" w:w="120"/>
            </w:tcMar>
            <w:vAlign w:val="center"/>
          </w:tcPr>
          <w:p>
            <w:r>
              <w:rPr>
                <w:b w:val="false"/>
                <w:bCs w:val="false"/>
                <w:color w:val="000000"/>
                <w:sz w:val="20"/>
                <w:szCs w:val="20"/>
              </w:rPr>
              <w:t xml:space="preserve">Finance/ERP System Owner (S/4HANA Cloud)</w:t>
            </w:r>
          </w:p>
        </w:tc>
        <w:tc>
          <w:tcPr>
            <w:tcW w:type="dxa" w:w="52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800"/>
            <w:tcMar>
              <w:top w:type="dxa" w:w="80"/>
              <w:left w:type="dxa" w:w="120"/>
              <w:bottom w:type="dxa" w:w="80"/>
              <w:right w:type="dxa" w:w="120"/>
            </w:tcMar>
            <w:vAlign w:val="center"/>
          </w:tcPr>
          <w:p>
            <w:r>
              <w:rPr>
                <w:b w:val="false"/>
                <w:bCs w:val="false"/>
                <w:color w:val="000000"/>
                <w:sz w:val="20"/>
                <w:szCs w:val="20"/>
              </w:rPr>
              <w:t xml:space="preserve">Data Protection Officer</w:t>
            </w:r>
          </w:p>
        </w:tc>
        <w:tc>
          <w:tcPr>
            <w:tcW w:type="dxa" w:w="52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800"/>
            <w:shd w:fill="F2F2F2" w:val="clear"/>
            <w:tcMar>
              <w:top w:type="dxa" w:w="80"/>
              <w:left w:type="dxa" w:w="120"/>
              <w:bottom w:type="dxa" w:w="80"/>
              <w:right w:type="dxa" w:w="120"/>
            </w:tcMar>
            <w:vAlign w:val="center"/>
          </w:tcPr>
          <w:p>
            <w:r>
              <w:rPr>
                <w:b w:val="false"/>
                <w:bCs w:val="false"/>
                <w:color w:val="000000"/>
                <w:sz w:val="20"/>
                <w:szCs w:val="20"/>
              </w:rPr>
              <w:t xml:space="preserve">Internal Audit</w:t>
            </w:r>
          </w:p>
        </w:tc>
        <w:tc>
          <w:tcPr>
            <w:tcW w:type="dxa" w:w="52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800"/>
            <w:tcMar>
              <w:top w:type="dxa" w:w="80"/>
              <w:left w:type="dxa" w:w="120"/>
              <w:bottom w:type="dxa" w:w="80"/>
              <w:right w:type="dxa" w:w="120"/>
            </w:tcMar>
            <w:vAlign w:val="center"/>
          </w:tcPr>
          <w:p>
            <w:r>
              <w:rPr>
                <w:b w:val="false"/>
                <w:bCs w:val="false"/>
                <w:color w:val="000000"/>
                <w:sz w:val="20"/>
                <w:szCs w:val="20"/>
              </w:rPr>
              <w:t xml:space="preserve">IT Service Desk Manager</w:t>
            </w:r>
          </w:p>
        </w:tc>
        <w:tc>
          <w:tcPr>
            <w:tcW w:type="dxa" w:w="52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800"/>
            <w:shd w:fill="F2F2F2" w:val="clear"/>
            <w:tcMar>
              <w:top w:type="dxa" w:w="80"/>
              <w:left w:type="dxa" w:w="120"/>
              <w:bottom w:type="dxa" w:w="80"/>
              <w:right w:type="dxa" w:w="120"/>
            </w:tcMar>
            <w:vAlign w:val="center"/>
          </w:tcPr>
          <w:p>
            <w:r>
              <w:rPr>
                <w:b w:val="false"/>
                <w:bCs w:val="false"/>
                <w:color w:val="000000"/>
                <w:sz w:val="20"/>
                <w:szCs w:val="20"/>
              </w:rPr>
              <w:t xml:space="preserve">Azure Platform Owner</w:t>
            </w:r>
          </w:p>
        </w:tc>
        <w:tc>
          <w:tcPr>
            <w:tcW w:type="dxa" w:w="52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bl>
    <w:p>
      <w:pPr>
        <w:spacing w:after="200"/>
      </w:pPr>
    </w:p>
    <w:p>
      <w:pPr>
        <w:pStyle w:val="Heading1"/>
        <w:spacing w:after="160" w:before="360"/>
      </w:pPr>
      <w:r>
        <w:rPr>
          <w:color w:val="1F3864"/>
        </w:rPr>
        <w:t xml:space="preserve">4. Drivers</w:t>
      </w:r>
    </w:p>
    <w:p>
      <w:pPr>
        <w:pStyle w:val="ListParagraph"/>
        <w:numPr>
          <w:ilvl w:val="0"/>
          <w:numId w:val="2"/>
        </w:numPr>
        <w:spacing w:after="80"/>
      </w:pPr>
      <w:r>
        <w:t xml:space="preserve">Reduce Identity Sprawl Across the SAP Landscape</w:t>
      </w:r>
    </w:p>
    <w:p>
      <w:pPr>
        <w:pStyle w:val="ListParagraph"/>
        <w:numPr>
          <w:ilvl w:val="0"/>
          <w:numId w:val="2"/>
        </w:numPr>
        <w:spacing w:after="80"/>
      </w:pPr>
      <w:r>
        <w:t xml:space="preserve">Improve Security Posture and Reduce Attack Surface</w:t>
      </w:r>
    </w:p>
    <w:p>
      <w:pPr>
        <w:pStyle w:val="ListParagraph"/>
        <w:numPr>
          <w:ilvl w:val="0"/>
          <w:numId w:val="2"/>
        </w:numPr>
        <w:spacing w:after="80"/>
      </w:pPr>
      <w:r>
        <w:t xml:space="preserve">Enable Automated Joiner-Mover-Leaver Process</w:t>
      </w:r>
    </w:p>
    <w:p>
      <w:pPr>
        <w:pStyle w:val="ListParagraph"/>
        <w:numPr>
          <w:ilvl w:val="0"/>
          <w:numId w:val="2"/>
        </w:numPr>
        <w:spacing w:after="80"/>
      </w:pPr>
      <w:r>
        <w:t xml:space="preserve">Ensure Compliance with Access Governance Policy</w:t>
      </w:r>
    </w:p>
    <w:p>
      <w:pPr>
        <w:pStyle w:val="ListParagraph"/>
        <w:numPr>
          <w:ilvl w:val="0"/>
          <w:numId w:val="2"/>
        </w:numPr>
        <w:spacing w:after="80"/>
      </w:pPr>
      <w:r>
        <w:t xml:space="preserve">Reduce Manual User Administration Effort</w:t>
      </w:r>
    </w:p>
    <w:p>
      <w:pPr>
        <w:pStyle w:val="Heading1"/>
        <w:spacing w:after="160" w:before="360"/>
      </w:pPr>
      <w:r>
        <w:rPr>
          <w:color w:val="1F3864"/>
        </w:rPr>
        <w:t xml:space="preserve">5. Goals</w:t>
      </w:r>
    </w:p>
    <w:p>
      <w:pPr>
        <w:pStyle w:val="ListParagraph"/>
        <w:numPr>
          <w:ilvl w:val="0"/>
          <w:numId w:val="2"/>
        </w:numPr>
        <w:spacing w:after="80"/>
      </w:pPr>
      <w:r>
        <w:t xml:space="preserve">Achieve Single Source of Identity Truth (Azure AD)</w:t>
      </w:r>
    </w:p>
    <w:p>
      <w:pPr>
        <w:pStyle w:val="ListParagraph"/>
        <w:numPr>
          <w:ilvl w:val="0"/>
          <w:numId w:val="2"/>
        </w:numPr>
        <w:spacing w:after="80"/>
      </w:pPr>
      <w:r>
        <w:t xml:space="preserve">Automate User Provisioning to the SAP Landscape</w:t>
      </w:r>
    </w:p>
    <w:p>
      <w:pPr>
        <w:pStyle w:val="ListParagraph"/>
        <w:numPr>
          <w:ilvl w:val="0"/>
          <w:numId w:val="2"/>
        </w:numPr>
        <w:spacing w:after="80"/>
      </w:pPr>
      <w:r>
        <w:t xml:space="preserve">Reduce Onboarding and Offboarding Time</w:t>
      </w:r>
    </w:p>
    <w:p>
      <w:pPr>
        <w:pStyle w:val="ListParagraph"/>
        <w:numPr>
          <w:ilvl w:val="0"/>
          <w:numId w:val="2"/>
        </w:numPr>
        <w:spacing w:after="80"/>
      </w:pPr>
      <w:r>
        <w:t xml:space="preserve">Eliminate System-Local User Management</w:t>
      </w:r>
    </w:p>
    <w:p>
      <w:pPr>
        <w:pStyle w:val="Heading1"/>
        <w:spacing w:after="160" w:before="360"/>
      </w:pPr>
      <w:r>
        <w:rPr>
          <w:color w:val="1F3864"/>
        </w:rPr>
        <w:t xml:space="preserve">6. Desired Outcomes</w:t>
      </w:r>
    </w:p>
    <w:p>
      <w:pPr>
        <w:pStyle w:val="ListParagraph"/>
        <w:numPr>
          <w:ilvl w:val="0"/>
          <w:numId w:val="2"/>
        </w:numPr>
        <w:spacing w:after="80"/>
      </w:pPr>
      <w:r>
        <w:t xml:space="preserve">Reduced Number of Orphaned Accounts</w:t>
      </w:r>
    </w:p>
    <w:p>
      <w:pPr>
        <w:pStyle w:val="ListParagraph"/>
        <w:numPr>
          <w:ilvl w:val="0"/>
          <w:numId w:val="2"/>
        </w:numPr>
        <w:spacing w:after="80"/>
      </w:pPr>
      <w:r>
        <w:t xml:space="preserve">Faster Employee Onboarding</w:t>
      </w:r>
    </w:p>
    <w:p>
      <w:pPr>
        <w:pStyle w:val="ListParagraph"/>
        <w:numPr>
          <w:ilvl w:val="0"/>
          <w:numId w:val="2"/>
        </w:numPr>
        <w:spacing w:after="80"/>
      </w:pPr>
      <w:r>
        <w:t xml:space="preserve">Lower Help Desk Ticket Volume for Password Resets</w:t>
      </w:r>
    </w:p>
    <w:p>
      <w:pPr>
        <w:pStyle w:val="Heading1"/>
        <w:spacing w:after="160" w:before="360"/>
      </w:pPr>
      <w:r>
        <w:rPr>
          <w:color w:val="1F3864"/>
        </w:rPr>
        <w:t xml:space="preserve">7. Capability</w:t>
      </w:r>
    </w:p>
    <w:p>
      <w:pPr>
        <w:spacing w:after="160"/>
      </w:pPr>
      <w:r>
        <w:rPr>
          <w:b w:val="false"/>
          <w:bCs w:val="false"/>
          <w:i w:val="false"/>
          <w:iCs w:val="false"/>
        </w:rPr>
        <w:t xml:space="preserve">The project realizes a single strategic capability: “Centralized Identity &amp; Access Management,” which in turn realizes the goal “Achieve Single Source of Identity Truth (Azure AD).”</w:t>
      </w:r>
    </w:p>
    <w:p>
      <w:pPr>
        <w:pStyle w:val="Heading1"/>
        <w:spacing w:after="160" w:before="360"/>
      </w:pPr>
      <w:r>
        <w:rPr>
          <w:color w:val="1F3864"/>
        </w:rPr>
        <w:t xml:space="preserve">8. Architecture Principles</w:t>
      </w:r>
    </w:p>
    <w:p>
      <w:pPr>
        <w:pStyle w:val="ListParagraph"/>
        <w:numPr>
          <w:ilvl w:val="0"/>
          <w:numId w:val="2"/>
        </w:numPr>
        <w:spacing w:after="80"/>
      </w:pPr>
      <w:r>
        <w:t xml:space="preserve">Azure AD is the Single Master Source of Identity</w:t>
      </w:r>
    </w:p>
    <w:p>
      <w:pPr>
        <w:pStyle w:val="ListParagraph"/>
        <w:numPr>
          <w:ilvl w:val="0"/>
          <w:numId w:val="2"/>
        </w:numPr>
        <w:spacing w:after="80"/>
      </w:pPr>
      <w:r>
        <w:t xml:space="preserve">Provisioning is Automated, Not Manual</w:t>
      </w:r>
    </w:p>
    <w:p>
      <w:pPr>
        <w:pStyle w:val="ListParagraph"/>
        <w:numPr>
          <w:ilvl w:val="0"/>
          <w:numId w:val="2"/>
        </w:numPr>
        <w:spacing w:after="80"/>
      </w:pPr>
      <w:r>
        <w:t xml:space="preserve">Environments Remain Isolated (Development / Acceptance / Production)</w:t>
      </w:r>
    </w:p>
    <w:p>
      <w:pPr>
        <w:pStyle w:val="ListParagraph"/>
        <w:numPr>
          <w:ilvl w:val="0"/>
          <w:numId w:val="2"/>
        </w:numPr>
        <w:spacing w:after="80"/>
      </w:pPr>
      <w:r>
        <w:t xml:space="preserve">Federate Authentication – Do Not Replicate Passwords</w:t>
      </w:r>
    </w:p>
    <w:p>
      <w:pPr>
        <w:pStyle w:val="Heading1"/>
        <w:spacing w:after="160" w:before="360"/>
      </w:pPr>
      <w:r>
        <w:rPr>
          <w:color w:val="1F3864"/>
        </w:rPr>
        <w:t xml:space="preserve">9. Constraints</w:t>
      </w:r>
    </w:p>
    <w:p>
      <w:pPr>
        <w:pStyle w:val="ListParagraph"/>
        <w:numPr>
          <w:ilvl w:val="0"/>
          <w:numId w:val="2"/>
        </w:numPr>
        <w:spacing w:after="80"/>
      </w:pPr>
      <w:r>
        <w:t xml:space="preserve">Fixed Compliance Deadline for Access Governance</w:t>
      </w:r>
    </w:p>
    <w:p>
      <w:pPr>
        <w:pStyle w:val="ListParagraph"/>
        <w:numPr>
          <w:ilvl w:val="0"/>
          <w:numId w:val="2"/>
        </w:numPr>
        <w:spacing w:after="80"/>
      </w:pPr>
      <w:r>
        <w:t xml:space="preserve">No Direct Write-Back from SAP Systems to Azure AD (One-Way Sync)</w:t>
      </w:r>
    </w:p>
    <w:p>
      <w:pPr>
        <w:pStyle w:val="ListParagraph"/>
        <w:numPr>
          <w:ilvl w:val="0"/>
          <w:numId w:val="2"/>
        </w:numPr>
        <w:spacing w:after="80"/>
      </w:pPr>
      <w:r>
        <w:t xml:space="preserve">Production Identity Data May Not Flow to Non-Production Environments</w:t>
      </w:r>
    </w:p>
    <w:p>
      <w:pPr>
        <w:pStyle w:val="Heading1"/>
        <w:spacing w:after="160" w:before="360"/>
      </w:pPr>
      <w:r>
        <w:rPr>
          <w:color w:val="1F3864"/>
        </w:rPr>
        <w:t xml:space="preserve">10. Assessments Informing the Vision</w:t>
      </w:r>
    </w:p>
    <w:p>
      <w:pPr>
        <w:pStyle w:val="ListParagraph"/>
        <w:numPr>
          <w:ilvl w:val="0"/>
          <w:numId w:val="2"/>
        </w:numPr>
        <w:spacing w:after="80"/>
      </w:pPr>
      <w:r>
        <w:t xml:space="preserve">Current-State Identity Sprawl Assessment</w:t>
      </w:r>
    </w:p>
    <w:p>
      <w:pPr>
        <w:pStyle w:val="ListParagraph"/>
        <w:numPr>
          <w:ilvl w:val="0"/>
          <w:numId w:val="2"/>
        </w:numPr>
        <w:spacing w:after="80"/>
      </w:pPr>
      <w:r>
        <w:t xml:space="preserve">Azure AD Readiness Assessment</w:t>
      </w:r>
    </w:p>
    <w:p>
      <w:pPr>
        <w:pStyle w:val="Heading1"/>
        <w:spacing w:after="160" w:before="360"/>
      </w:pPr>
      <w:r>
        <w:rPr>
          <w:color w:val="1F3864"/>
        </w:rPr>
        <w:t xml:space="preserve">11. Target Plateau</w:t>
      </w:r>
    </w:p>
    <w:p>
      <w:pPr>
        <w:spacing w:after="160"/>
      </w:pPr>
      <w:r>
        <w:rPr>
          <w:b w:val="false"/>
          <w:bCs w:val="false"/>
          <w:i w:val="false"/>
          <w:iCs w:val="false"/>
        </w:rPr>
        <w:t xml:space="preserve">The end target is the “Target Architecture (Centralized User Management via Azure AD)” plateau, reached from the “Baseline Architecture (Decentralized User Management)” plateau through the Work Packages defined in the Implementation and Migration Plan.</w:t>
      </w:r>
    </w:p>
    <w:p>
      <w:pPr>
        <w:pStyle w:val="Heading1"/>
        <w:spacing w:after="160" w:before="360"/>
      </w:pPr>
      <w:r>
        <w:rPr>
          <w:color w:val="1F3864"/>
        </w:rPr>
        <w:t xml:space="preserve">12. Risks (High-Level)</w:t>
      </w:r>
    </w:p>
    <w:p>
      <w:pPr>
        <w:pStyle w:val="ListParagraph"/>
        <w:numPr>
          <w:ilvl w:val="0"/>
          <w:numId w:val="2"/>
        </w:numPr>
        <w:spacing w:after="80"/>
      </w:pPr>
      <w:r>
        <w:t xml:space="preserve">Incomplete or inaccurate Azure AD attribute data could propagate incorrect access into SAP systems.</w:t>
      </w:r>
    </w:p>
    <w:p>
      <w:pPr>
        <w:pStyle w:val="ListParagraph"/>
        <w:numPr>
          <w:ilvl w:val="0"/>
          <w:numId w:val="2"/>
        </w:numPr>
        <w:spacing w:after="80"/>
      </w:pPr>
      <w:r>
        <w:t xml:space="preserve">SCIM mapping errors between Azure AD attributes and SAP user fields could block provisioning.</w:t>
      </w:r>
    </w:p>
    <w:p>
      <w:pPr>
        <w:pStyle w:val="ListParagraph"/>
        <w:numPr>
          <w:ilvl w:val="0"/>
          <w:numId w:val="2"/>
        </w:numPr>
        <w:spacing w:after="80"/>
      </w:pPr>
      <w:r>
        <w:t xml:space="preserve">Fixed compliance deadline leaves limited buffer for remediation if testing surfaces issues late.</w:t>
      </w:r>
    </w:p>
    <w:p>
      <w:pPr>
        <w:pStyle w:val="Heading1"/>
        <w:spacing w:after="160" w:before="360"/>
      </w:pPr>
      <w:r>
        <w:rPr>
          <w:color w:val="1F3864"/>
        </w:rPr>
        <w:t xml:space="preserve">13. Next Steps</w:t>
      </w:r>
    </w:p>
    <w:p>
      <w:pPr>
        <w:spacing w:after="160"/>
      </w:pPr>
      <w:r>
        <w:rPr>
          <w:b w:val="false"/>
          <w:bCs w:val="false"/>
          <w:i w:val="false"/>
          <w:iCs w:val="false"/>
        </w:rPr>
        <w:t xml:space="preserve">On approval, the project proceeds to Phase B (Business Architecture), Phase C (Data and Application Architecture), and Phase D (Technology Architecture), each elaborating the relevant layers of the SAP Centralized IAM Repository.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SAP Centralized IAM Repository –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IAM – Architecture Vision (Phase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2026-08-13T10:47:36.268Z</dcterms:created>
  <dcterms:modified xsi:type="dcterms:W3CDTF">2026-08-13T10:47:36.286Z</dcterms:modified>
</cp:coreProperties>
</file>

<file path=docProps/custom.xml><?xml version="1.0" encoding="utf-8"?>
<Properties xmlns="http://schemas.openxmlformats.org/officeDocument/2006/custom-properties" xmlns:vt="http://schemas.openxmlformats.org/officeDocument/2006/docPropsVTypes"/>
</file>