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Data Architecture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Centralized Identity &amp; Access Management – TOGAF ADM Phase C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C – Information Systems Architecture (Data)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Centralized IAM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Data Architecture defines the identity-related data objects exchanged between Azure AD, SAP IPS, and the target applications (SAP S/4HANA Cloud, SAP SuccessFactors).</w:t>
      </w:r>
    </w:p>
    <w:p>
      <w:pPr>
        <w:pStyle w:val="Heading1"/>
        <w:spacing w:after="160" w:before="360"/>
      </w:pPr>
      <w:r>
        <w:rPr>
          <w:color w:val="1F3864"/>
        </w:rPr>
        <w:t xml:space="preserve">2. Core Data Objects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Object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Identity Record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Master (SuccessFactors)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Account (S/4HANA Cloud)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Data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Azure AD is the system of record for the User Identity Record (name, email, department, employment status).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IPS – SuccessFactors reads the User Identity Record and reconciles it against the Employee Master (SuccessFactors) business object.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IPS – S/4HANA and SAP IPS – SuccessFactors each write a User Account into their respective target systems' Development, Acceptance, and Production stages.</w:t>
      </w:r>
    </w:p>
    <w:p>
      <w:pPr>
        <w:pStyle w:val="Heading1"/>
        <w:spacing w:after="160" w:before="360"/>
      </w:pPr>
      <w:r>
        <w:rPr>
          <w:color w:val="1F3864"/>
        </w:rPr>
        <w:t xml:space="preserve">4. Data Ownership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Object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of Record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Identity Record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Active Directory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IPS – S/4HANA, SAP IPS – SuccessFactors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Master (SuccessFactors)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SuccessFactors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IPS – SuccessFactors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Account (S/4HANA Cloud)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IPS – S/4HANA (provisioned)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S/4HANA Cloud (all stages)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5. One-Way Synchronization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Per Constraint CON-2 (“No Direct Write-Back from SAP Systems to Azure AD”), all identity data flows in one direction only: from Azure AD outward to SAP IAS and SAP IPS, and from SAP IPS outward to the target application landscapes. No SAP system writes identity data back into Azure AD.</w:t>
      </w:r>
    </w:p>
    <w:p>
      <w:pPr>
        <w:pStyle w:val="Heading1"/>
        <w:spacing w:after="160" w:before="360"/>
      </w:pPr>
      <w:r>
        <w:rPr>
          <w:color w:val="1F3864"/>
        </w:rPr>
        <w:t xml:space="preserve">6. Environment Isolation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Per Constraint CON-3 and Requirement REQ-4, production identity data is not permitted to flow into non-production (Development or Acceptance) environments. Each landscape stage receives only its own test or production identity data set, provisioned through the same shared IPS tenant but scoped per stage.</w:t>
      </w:r>
    </w:p>
    <w:p>
      <w:pPr>
        <w:pStyle w:val="Heading1"/>
        <w:spacing w:after="160" w:before="360"/>
      </w:pPr>
      <w:r>
        <w:rPr>
          <w:color w:val="1F3864"/>
        </w:rPr>
        <w:t xml:space="preserve">7. Traceability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All data objects listed above are modelled as ArchiMate “DataObject” elements in the SAP Centralized IAM Repository and rendered in the “Data Architecture” view, together with their Access relationships.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Centralized IAM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IAM – Data Architecture (Phase 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2026-08-13T10:47:36.741Z</dcterms:created>
  <dcterms:modified xsi:type="dcterms:W3CDTF">2026-08-13T10:47:36.743Z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