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2E74B5"/>
          <w:sz w:val="24"/>
          <w:szCs w:val="24"/>
        </w:rPr>
        <w:t xml:space="preserve">SAP RISE with SAP S/4HANA Cloud</w:t>
      </w:r>
    </w:p>
    <w:p>
      <w:pPr>
        <w:spacing w:after="400"/>
      </w:pPr>
      <w:r>
        <w:rPr>
          <w:b/>
          <w:bCs/>
          <w:color w:val="1F3864"/>
          <w:sz w:val="56"/>
          <w:szCs w:val="56"/>
        </w:rPr>
        <w:t xml:space="preserve">Application Architecture</w:t>
      </w:r>
    </w:p>
    <w:p>
      <w:pPr>
        <w:spacing w:after="1200"/>
      </w:pPr>
      <w:r>
        <w:rPr>
          <w:i/>
          <w:iCs/>
          <w:color w:val="595959"/>
          <w:sz w:val="28"/>
          <w:szCs w:val="28"/>
        </w:rPr>
        <w:t xml:space="preserve">Centralized Identity &amp; Access Management – TOGAF ADM Phase 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6500"/>
            <w:shd w:fill="1F3864" w:val="clear"/>
            <w:tcMar>
              <w:top w:type="dxa" w:w="80"/>
              <w:left w:type="dxa" w:w="120"/>
              <w:bottom w:type="dxa" w:w="80"/>
              <w:right w:type="dxa" w:w="120"/>
            </w:tcMar>
            <w:vAlign w:val="center"/>
          </w:tcPr>
          <w:p>
            <w:r>
              <w:rPr>
                <w:b/>
                <w:bCs/>
                <w:color w:val="FFFFFF"/>
                <w:sz w:val="20"/>
                <w:szCs w:val="20"/>
              </w:rPr>
              <w:t xml:space="preserve">Value</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Programme</w:t>
            </w:r>
          </w:p>
        </w:tc>
        <w:tc>
          <w:tcPr>
            <w:tcW w:type="dxa" w:w="6500"/>
            <w:tcMar>
              <w:top w:type="dxa" w:w="80"/>
              <w:left w:type="dxa" w:w="120"/>
              <w:bottom w:type="dxa" w:w="80"/>
              <w:right w:type="dxa" w:w="120"/>
            </w:tcMar>
            <w:vAlign w:val="center"/>
          </w:tcPr>
          <w:p>
            <w:r>
              <w:rPr>
                <w:b w:val="false"/>
                <w:bCs w:val="false"/>
                <w:color w:val="000000"/>
                <w:sz w:val="20"/>
                <w:szCs w:val="20"/>
              </w:rPr>
              <w:t xml:space="preserve">SAP RISE with SAP S/4HANA Cloud – Enterprise Transformation</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TOGAF ADM Phase</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Phase C – Information Systems Architecture (Application)</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Architecture Repository</w:t>
            </w:r>
          </w:p>
        </w:tc>
        <w:tc>
          <w:tcPr>
            <w:tcW w:type="dxa" w:w="6500"/>
            <w:tcMar>
              <w:top w:type="dxa" w:w="80"/>
              <w:left w:type="dxa" w:w="120"/>
              <w:bottom w:type="dxa" w:w="80"/>
              <w:right w:type="dxa" w:w="120"/>
            </w:tcMar>
            <w:vAlign w:val="center"/>
          </w:tcPr>
          <w:p>
            <w:r>
              <w:rPr>
                <w:b w:val="false"/>
                <w:bCs w:val="false"/>
                <w:color w:val="000000"/>
                <w:sz w:val="20"/>
                <w:szCs w:val="20"/>
              </w:rPr>
              <w:t xml:space="preserve">SAP Centralized IAM Repository (ArchiMate 3.x model)</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Document Status</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Draft for Review</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Version</w:t>
            </w:r>
          </w:p>
        </w:tc>
        <w:tc>
          <w:tcPr>
            <w:tcW w:type="dxa" w:w="6500"/>
            <w:tcMar>
              <w:top w:type="dxa" w:w="80"/>
              <w:left w:type="dxa" w:w="120"/>
              <w:bottom w:type="dxa" w:w="80"/>
              <w:right w:type="dxa" w:w="120"/>
            </w:tcMar>
            <w:vAlign w:val="center"/>
          </w:tcPr>
          <w:p>
            <w:r>
              <w:rPr>
                <w:b w:val="false"/>
                <w:bCs w:val="false"/>
                <w:color w:val="000000"/>
                <w:sz w:val="20"/>
                <w:szCs w:val="20"/>
              </w:rPr>
              <w:t xml:space="preserve">0.1</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Date</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2026-08-13</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Prepared By</w:t>
            </w:r>
          </w:p>
        </w:tc>
        <w:tc>
          <w:tcPr>
            <w:tcW w:type="dxa" w:w="6500"/>
            <w:tcMar>
              <w:top w:type="dxa" w:w="80"/>
              <w:left w:type="dxa" w:w="120"/>
              <w:bottom w:type="dxa" w:w="80"/>
              <w:right w:type="dxa" w:w="120"/>
            </w:tcMar>
            <w:vAlign w:val="center"/>
          </w:tcPr>
          <w:p>
            <w:r>
              <w:rPr>
                <w:b w:val="false"/>
                <w:bCs w:val="false"/>
                <w:color w:val="000000"/>
                <w:sz w:val="20"/>
                <w:szCs w:val="20"/>
              </w:rPr>
              <w:t xml:space="preserve">Enterprise Architecture Team</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Classification</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Internal</w:t>
            </w:r>
          </w:p>
        </w:tc>
      </w:tr>
    </w:tbl>
    <w:p>
      <w:r>
        <w:br w:type="page"/>
      </w:r>
    </w:p>
    <w:p>
      <w:pPr>
        <w:pStyle w:val="Heading1"/>
        <w:spacing w:after="160" w:before="360"/>
      </w:pPr>
      <w:r>
        <w:rPr>
          <w:color w:val="1F3864"/>
        </w:rPr>
        <w:t xml:space="preserve">1. Introduction</w:t>
      </w:r>
    </w:p>
    <w:p>
      <w:pPr>
        <w:spacing w:after="160"/>
      </w:pPr>
      <w:r>
        <w:rPr>
          <w:b w:val="false"/>
          <w:bCs w:val="false"/>
          <w:i w:val="false"/>
          <w:iCs w:val="false"/>
        </w:rPr>
        <w:t xml:space="preserve">This Application Architecture describes the baseline (decentralized) and target (centralized) application landscapes for identity and access management.</w:t>
      </w:r>
    </w:p>
    <w:p>
      <w:pPr>
        <w:pStyle w:val="Heading1"/>
        <w:spacing w:after="160" w:before="360"/>
      </w:pPr>
      <w:r>
        <w:rPr>
          <w:color w:val="1F3864"/>
        </w:rPr>
        <w:t xml:space="preserve">2. Baseline Application Landscape</w:t>
      </w:r>
    </w:p>
    <w:p>
      <w:pPr>
        <w:spacing w:after="160"/>
      </w:pPr>
      <w:r>
        <w:rPr>
          <w:b w:val="false"/>
          <w:bCs w:val="false"/>
          <w:i w:val="false"/>
          <w:iCs w:val="false"/>
        </w:rPr>
        <w:t xml:space="preserve">In the baseline, each of the six landscape stages performs its own local user administration, with no shared identity component:</w:t>
      </w:r>
    </w:p>
    <w:p>
      <w:pPr>
        <w:pStyle w:val="ListParagraph"/>
        <w:numPr>
          <w:ilvl w:val="0"/>
          <w:numId w:val="2"/>
        </w:numPr>
        <w:spacing w:after="80"/>
      </w:pPr>
      <w:r>
        <w:t xml:space="preserve">S/4HANA Cloud Development - Local User Administration</w:t>
      </w:r>
    </w:p>
    <w:p>
      <w:pPr>
        <w:pStyle w:val="ListParagraph"/>
        <w:numPr>
          <w:ilvl w:val="0"/>
          <w:numId w:val="2"/>
        </w:numPr>
        <w:spacing w:after="80"/>
      </w:pPr>
      <w:r>
        <w:t xml:space="preserve">S/4HANA Cloud Acceptance - Local User Administration</w:t>
      </w:r>
    </w:p>
    <w:p>
      <w:pPr>
        <w:pStyle w:val="ListParagraph"/>
        <w:numPr>
          <w:ilvl w:val="0"/>
          <w:numId w:val="2"/>
        </w:numPr>
        <w:spacing w:after="80"/>
      </w:pPr>
      <w:r>
        <w:t xml:space="preserve">S/4HANA Cloud Production - Local User Administration</w:t>
      </w:r>
    </w:p>
    <w:p>
      <w:pPr>
        <w:pStyle w:val="ListParagraph"/>
        <w:numPr>
          <w:ilvl w:val="0"/>
          <w:numId w:val="2"/>
        </w:numPr>
        <w:spacing w:after="80"/>
      </w:pPr>
      <w:r>
        <w:t xml:space="preserve">SuccessFactors Development - Local User Administration</w:t>
      </w:r>
    </w:p>
    <w:p>
      <w:pPr>
        <w:pStyle w:val="ListParagraph"/>
        <w:numPr>
          <w:ilvl w:val="0"/>
          <w:numId w:val="2"/>
        </w:numPr>
        <w:spacing w:after="80"/>
      </w:pPr>
      <w:r>
        <w:t xml:space="preserve">SuccessFactors Acceptance - Local User Administration</w:t>
      </w:r>
    </w:p>
    <w:p>
      <w:pPr>
        <w:pStyle w:val="ListParagraph"/>
        <w:numPr>
          <w:ilvl w:val="0"/>
          <w:numId w:val="2"/>
        </w:numPr>
        <w:spacing w:after="80"/>
      </w:pPr>
      <w:r>
        <w:t xml:space="preserve">SuccessFactors Production - Local User Administration</w:t>
      </w:r>
    </w:p>
    <w:p>
      <w:pPr>
        <w:pStyle w:val="Heading1"/>
        <w:spacing w:after="160" w:before="360"/>
      </w:pPr>
      <w:r>
        <w:rPr>
          <w:color w:val="1F3864"/>
        </w:rPr>
        <w:t xml:space="preserve">3. Target Application Landscape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F3864" w:val="clear"/>
            <w:tcMar>
              <w:top w:type="dxa" w:w="80"/>
              <w:left w:type="dxa" w:w="120"/>
              <w:bottom w:type="dxa" w:w="80"/>
              <w:right w:type="dxa" w:w="120"/>
            </w:tcMar>
            <w:vAlign w:val="center"/>
          </w:tcPr>
          <w:p>
            <w:r>
              <w:rPr>
                <w:b/>
                <w:bCs/>
                <w:color w:val="FFFFFF"/>
                <w:sz w:val="20"/>
                <w:szCs w:val="20"/>
              </w:rPr>
              <w:t xml:space="preserve">Component</w:t>
            </w:r>
          </w:p>
        </w:tc>
        <w:tc>
          <w:tcPr>
            <w:tcW w:type="dxa" w:w="5600"/>
            <w:shd w:fill="1F3864" w:val="clear"/>
            <w:tcMar>
              <w:top w:type="dxa" w:w="80"/>
              <w:left w:type="dxa" w:w="120"/>
              <w:bottom w:type="dxa" w:w="80"/>
              <w:right w:type="dxa" w:w="120"/>
            </w:tcMar>
            <w:vAlign w:val="center"/>
          </w:tcPr>
          <w:p>
            <w:r>
              <w:rPr>
                <w:b/>
                <w:bCs/>
                <w:color w:val="FFFFFF"/>
                <w:sz w:val="20"/>
                <w:szCs w:val="20"/>
              </w:rPr>
              <w:t xml:space="preserve">Role</w:t>
            </w:r>
          </w:p>
        </w:tc>
      </w:tr>
      <w:tr>
        <w:tc>
          <w:tcPr>
            <w:tcW w:type="dxa" w:w="3400"/>
            <w:tcMar>
              <w:top w:type="dxa" w:w="80"/>
              <w:left w:type="dxa" w:w="120"/>
              <w:bottom w:type="dxa" w:w="80"/>
              <w:right w:type="dxa" w:w="120"/>
            </w:tcMar>
            <w:vAlign w:val="center"/>
          </w:tcPr>
          <w:p>
            <w:r>
              <w:rPr>
                <w:b w:val="false"/>
                <w:bCs w:val="false"/>
                <w:color w:val="000000"/>
                <w:sz w:val="20"/>
                <w:szCs w:val="20"/>
              </w:rPr>
              <w:t xml:space="preserve">Azure Active Directory (Azure AD)</w:t>
            </w:r>
          </w:p>
        </w:tc>
        <w:tc>
          <w:tcPr>
            <w:tcW w:type="dxa" w:w="5600"/>
            <w:tcMar>
              <w:top w:type="dxa" w:w="80"/>
              <w:left w:type="dxa" w:w="120"/>
              <w:bottom w:type="dxa" w:w="80"/>
              <w:right w:type="dxa" w:w="120"/>
            </w:tcMar>
            <w:vAlign w:val="center"/>
          </w:tcPr>
          <w:p>
            <w:r>
              <w:rPr>
                <w:b w:val="false"/>
                <w:bCs w:val="false"/>
                <w:color w:val="000000"/>
                <w:sz w:val="20"/>
                <w:szCs w:val="20"/>
              </w:rPr>
              <w:t xml:space="preserve">Master identity source; corporate identity provider</w:t>
            </w:r>
          </w:p>
        </w:tc>
      </w:tr>
      <w:tr>
        <w:tc>
          <w:tcPr>
            <w:tcW w:type="dxa" w:w="3400"/>
            <w:shd w:fill="F2F2F2" w:val="clear"/>
            <w:tcMar>
              <w:top w:type="dxa" w:w="80"/>
              <w:left w:type="dxa" w:w="120"/>
              <w:bottom w:type="dxa" w:w="80"/>
              <w:right w:type="dxa" w:w="120"/>
            </w:tcMar>
            <w:vAlign w:val="center"/>
          </w:tcPr>
          <w:p>
            <w:r>
              <w:rPr>
                <w:b w:val="false"/>
                <w:bCs w:val="false"/>
                <w:color w:val="000000"/>
                <w:sz w:val="20"/>
                <w:szCs w:val="20"/>
              </w:rPr>
              <w:t xml:space="preserve">SAP IAS - S/4HANA</w:t>
            </w:r>
          </w:p>
        </w:tc>
        <w:tc>
          <w:tcPr>
            <w:tcW w:type="dxa" w:w="5600"/>
            <w:shd w:fill="F2F2F2" w:val="clear"/>
            <w:tcMar>
              <w:top w:type="dxa" w:w="80"/>
              <w:left w:type="dxa" w:w="120"/>
              <w:bottom w:type="dxa" w:w="80"/>
              <w:right w:type="dxa" w:w="120"/>
            </w:tcMar>
            <w:vAlign w:val="center"/>
          </w:tcPr>
          <w:p>
            <w:r>
              <w:rPr>
                <w:b w:val="false"/>
                <w:bCs w:val="false"/>
                <w:color w:val="000000"/>
                <w:sz w:val="20"/>
                <w:szCs w:val="20"/>
              </w:rPr>
              <w:t xml:space="preserve">Shared SSO broker for S/4HANA Cloud (Development, Acceptance, Production)</w:t>
            </w:r>
          </w:p>
        </w:tc>
      </w:tr>
      <w:tr>
        <w:tc>
          <w:tcPr>
            <w:tcW w:type="dxa" w:w="3400"/>
            <w:tcMar>
              <w:top w:type="dxa" w:w="80"/>
              <w:left w:type="dxa" w:w="120"/>
              <w:bottom w:type="dxa" w:w="80"/>
              <w:right w:type="dxa" w:w="120"/>
            </w:tcMar>
            <w:vAlign w:val="center"/>
          </w:tcPr>
          <w:p>
            <w:r>
              <w:rPr>
                <w:b w:val="false"/>
                <w:bCs w:val="false"/>
                <w:color w:val="000000"/>
                <w:sz w:val="20"/>
                <w:szCs w:val="20"/>
              </w:rPr>
              <w:t xml:space="preserve">SAP IAS - SuccessFactors</w:t>
            </w:r>
          </w:p>
        </w:tc>
        <w:tc>
          <w:tcPr>
            <w:tcW w:type="dxa" w:w="5600"/>
            <w:tcMar>
              <w:top w:type="dxa" w:w="80"/>
              <w:left w:type="dxa" w:w="120"/>
              <w:bottom w:type="dxa" w:w="80"/>
              <w:right w:type="dxa" w:w="120"/>
            </w:tcMar>
            <w:vAlign w:val="center"/>
          </w:tcPr>
          <w:p>
            <w:r>
              <w:rPr>
                <w:b w:val="false"/>
                <w:bCs w:val="false"/>
                <w:color w:val="000000"/>
                <w:sz w:val="20"/>
                <w:szCs w:val="20"/>
              </w:rPr>
              <w:t xml:space="preserve">Shared SSO broker for SuccessFactors (Development, Acceptance, Production)</w:t>
            </w:r>
          </w:p>
        </w:tc>
      </w:tr>
      <w:tr>
        <w:tc>
          <w:tcPr>
            <w:tcW w:type="dxa" w:w="3400"/>
            <w:shd w:fill="F2F2F2" w:val="clear"/>
            <w:tcMar>
              <w:top w:type="dxa" w:w="80"/>
              <w:left w:type="dxa" w:w="120"/>
              <w:bottom w:type="dxa" w:w="80"/>
              <w:right w:type="dxa" w:w="120"/>
            </w:tcMar>
            <w:vAlign w:val="center"/>
          </w:tcPr>
          <w:p>
            <w:r>
              <w:rPr>
                <w:b w:val="false"/>
                <w:bCs w:val="false"/>
                <w:color w:val="000000"/>
                <w:sz w:val="20"/>
                <w:szCs w:val="20"/>
              </w:rPr>
              <w:t xml:space="preserve">SAP IPS - S/4HANA</w:t>
            </w:r>
          </w:p>
        </w:tc>
        <w:tc>
          <w:tcPr>
            <w:tcW w:type="dxa" w:w="5600"/>
            <w:shd w:fill="F2F2F2" w:val="clear"/>
            <w:tcMar>
              <w:top w:type="dxa" w:w="80"/>
              <w:left w:type="dxa" w:w="120"/>
              <w:bottom w:type="dxa" w:w="80"/>
              <w:right w:type="dxa" w:w="120"/>
            </w:tcMar>
            <w:vAlign w:val="center"/>
          </w:tcPr>
          <w:p>
            <w:r>
              <w:rPr>
                <w:b w:val="false"/>
                <w:bCs w:val="false"/>
                <w:color w:val="000000"/>
                <w:sz w:val="20"/>
                <w:szCs w:val="20"/>
              </w:rPr>
              <w:t xml:space="preserve">Shared provisioning engine for S/4HANA Cloud (Development, Acceptance, Production)</w:t>
            </w:r>
          </w:p>
        </w:tc>
      </w:tr>
      <w:tr>
        <w:tc>
          <w:tcPr>
            <w:tcW w:type="dxa" w:w="3400"/>
            <w:tcMar>
              <w:top w:type="dxa" w:w="80"/>
              <w:left w:type="dxa" w:w="120"/>
              <w:bottom w:type="dxa" w:w="80"/>
              <w:right w:type="dxa" w:w="120"/>
            </w:tcMar>
            <w:vAlign w:val="center"/>
          </w:tcPr>
          <w:p>
            <w:r>
              <w:rPr>
                <w:b w:val="false"/>
                <w:bCs w:val="false"/>
                <w:color w:val="000000"/>
                <w:sz w:val="20"/>
                <w:szCs w:val="20"/>
              </w:rPr>
              <w:t xml:space="preserve">SAP IPS - SuccessFactors</w:t>
            </w:r>
          </w:p>
        </w:tc>
        <w:tc>
          <w:tcPr>
            <w:tcW w:type="dxa" w:w="5600"/>
            <w:tcMar>
              <w:top w:type="dxa" w:w="80"/>
              <w:left w:type="dxa" w:w="120"/>
              <w:bottom w:type="dxa" w:w="80"/>
              <w:right w:type="dxa" w:w="120"/>
            </w:tcMar>
            <w:vAlign w:val="center"/>
          </w:tcPr>
          <w:p>
            <w:r>
              <w:rPr>
                <w:b w:val="false"/>
                <w:bCs w:val="false"/>
                <w:color w:val="000000"/>
                <w:sz w:val="20"/>
                <w:szCs w:val="20"/>
              </w:rPr>
              <w:t xml:space="preserve">Shared provisioning engine for SuccessFactors (Development, Acceptance, Production)</w:t>
            </w:r>
          </w:p>
        </w:tc>
      </w:tr>
    </w:tbl>
    <w:p>
      <w:pPr>
        <w:spacing w:after="200"/>
      </w:pPr>
    </w:p>
    <w:p>
      <w:pPr>
        <w:pStyle w:val="Heading2"/>
        <w:spacing w:after="120" w:before="280"/>
      </w:pPr>
      <w:r>
        <w:rPr>
          <w:color w:val="2E74B5"/>
        </w:rPr>
        <w:t xml:space="preserve">3.1 Target Landscape Stages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8200"/>
      </w:tblGrid>
      <w:tr>
        <w:trPr>
          <w:tblHeader/>
        </w:trPr>
        <w:tc>
          <w:tcPr>
            <w:tcW w:type="dxa" w:w="800"/>
            <w:shd w:fill="1F3864" w:val="clear"/>
            <w:tcMar>
              <w:top w:type="dxa" w:w="80"/>
              <w:left w:type="dxa" w:w="120"/>
              <w:bottom w:type="dxa" w:w="80"/>
              <w:right w:type="dxa" w:w="120"/>
            </w:tcMar>
            <w:vAlign w:val="center"/>
          </w:tcPr>
          <w:p>
            <w:r>
              <w:rPr>
                <w:b/>
                <w:bCs/>
                <w:color w:val="FFFFFF"/>
                <w:sz w:val="20"/>
                <w:szCs w:val="20"/>
              </w:rPr>
              <w:t xml:space="preserve">#</w:t>
            </w:r>
          </w:p>
        </w:tc>
        <w:tc>
          <w:tcPr>
            <w:tcW w:type="dxa" w:w="8200"/>
            <w:shd w:fill="1F3864" w:val="clear"/>
            <w:tcMar>
              <w:top w:type="dxa" w:w="80"/>
              <w:left w:type="dxa" w:w="120"/>
              <w:bottom w:type="dxa" w:w="80"/>
              <w:right w:type="dxa" w:w="120"/>
            </w:tcMar>
            <w:vAlign w:val="center"/>
          </w:tcPr>
          <w:p>
            <w:r>
              <w:rPr>
                <w:b/>
                <w:bCs/>
                <w:color w:val="FFFFFF"/>
                <w:sz w:val="20"/>
                <w:szCs w:val="20"/>
              </w:rPr>
              <w:t xml:space="preserve">Application Component</w:t>
            </w:r>
          </w:p>
        </w:tc>
      </w:tr>
      <w:tr>
        <w:tc>
          <w:tcPr>
            <w:tcW w:type="dxa" w:w="800"/>
            <w:tcMar>
              <w:top w:type="dxa" w:w="80"/>
              <w:left w:type="dxa" w:w="120"/>
              <w:bottom w:type="dxa" w:w="80"/>
              <w:right w:type="dxa" w:w="120"/>
            </w:tcMar>
            <w:vAlign w:val="center"/>
          </w:tcPr>
          <w:p>
            <w:r>
              <w:rPr>
                <w:b w:val="false"/>
                <w:bCs w:val="false"/>
                <w:color w:val="000000"/>
                <w:sz w:val="20"/>
                <w:szCs w:val="20"/>
              </w:rPr>
              <w:t xml:space="preserve">1</w:t>
            </w:r>
          </w:p>
        </w:tc>
        <w:tc>
          <w:tcPr>
            <w:tcW w:type="dxa" w:w="8200"/>
            <w:tcMar>
              <w:top w:type="dxa" w:w="80"/>
              <w:left w:type="dxa" w:w="120"/>
              <w:bottom w:type="dxa" w:w="80"/>
              <w:right w:type="dxa" w:w="120"/>
            </w:tcMar>
            <w:vAlign w:val="center"/>
          </w:tcPr>
          <w:p>
            <w:r>
              <w:rPr>
                <w:b w:val="false"/>
                <w:bCs w:val="false"/>
                <w:color w:val="000000"/>
                <w:sz w:val="20"/>
                <w:szCs w:val="20"/>
              </w:rPr>
              <w:t xml:space="preserve">SAP S/4HANA Cloud - Development</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2</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SAP S/4HANA Cloud - Acceptance</w:t>
            </w:r>
          </w:p>
        </w:tc>
      </w:tr>
      <w:tr>
        <w:tc>
          <w:tcPr>
            <w:tcW w:type="dxa" w:w="800"/>
            <w:tcMar>
              <w:top w:type="dxa" w:w="80"/>
              <w:left w:type="dxa" w:w="120"/>
              <w:bottom w:type="dxa" w:w="80"/>
              <w:right w:type="dxa" w:w="120"/>
            </w:tcMar>
            <w:vAlign w:val="center"/>
          </w:tcPr>
          <w:p>
            <w:r>
              <w:rPr>
                <w:b w:val="false"/>
                <w:bCs w:val="false"/>
                <w:color w:val="000000"/>
                <w:sz w:val="20"/>
                <w:szCs w:val="20"/>
              </w:rPr>
              <w:t xml:space="preserve">3</w:t>
            </w:r>
          </w:p>
        </w:tc>
        <w:tc>
          <w:tcPr>
            <w:tcW w:type="dxa" w:w="8200"/>
            <w:tcMar>
              <w:top w:type="dxa" w:w="80"/>
              <w:left w:type="dxa" w:w="120"/>
              <w:bottom w:type="dxa" w:w="80"/>
              <w:right w:type="dxa" w:w="120"/>
            </w:tcMar>
            <w:vAlign w:val="center"/>
          </w:tcPr>
          <w:p>
            <w:r>
              <w:rPr>
                <w:b w:val="false"/>
                <w:bCs w:val="false"/>
                <w:color w:val="000000"/>
                <w:sz w:val="20"/>
                <w:szCs w:val="20"/>
              </w:rPr>
              <w:t xml:space="preserve">SAP S/4HANA Cloud - Production</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4</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SAP SuccessFactors - Development</w:t>
            </w:r>
          </w:p>
        </w:tc>
      </w:tr>
      <w:tr>
        <w:tc>
          <w:tcPr>
            <w:tcW w:type="dxa" w:w="800"/>
            <w:tcMar>
              <w:top w:type="dxa" w:w="80"/>
              <w:left w:type="dxa" w:w="120"/>
              <w:bottom w:type="dxa" w:w="80"/>
              <w:right w:type="dxa" w:w="120"/>
            </w:tcMar>
            <w:vAlign w:val="center"/>
          </w:tcPr>
          <w:p>
            <w:r>
              <w:rPr>
                <w:b w:val="false"/>
                <w:bCs w:val="false"/>
                <w:color w:val="000000"/>
                <w:sz w:val="20"/>
                <w:szCs w:val="20"/>
              </w:rPr>
              <w:t xml:space="preserve">5</w:t>
            </w:r>
          </w:p>
        </w:tc>
        <w:tc>
          <w:tcPr>
            <w:tcW w:type="dxa" w:w="8200"/>
            <w:tcMar>
              <w:top w:type="dxa" w:w="80"/>
              <w:left w:type="dxa" w:w="120"/>
              <w:bottom w:type="dxa" w:w="80"/>
              <w:right w:type="dxa" w:w="120"/>
            </w:tcMar>
            <w:vAlign w:val="center"/>
          </w:tcPr>
          <w:p>
            <w:r>
              <w:rPr>
                <w:b w:val="false"/>
                <w:bCs w:val="false"/>
                <w:color w:val="000000"/>
                <w:sz w:val="20"/>
                <w:szCs w:val="20"/>
              </w:rPr>
              <w:t xml:space="preserve">SAP SuccessFactors - Acceptance</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6</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SAP SuccessFactors - Production</w:t>
            </w:r>
          </w:p>
        </w:tc>
      </w:tr>
    </w:tbl>
    <w:p>
      <w:pPr>
        <w:spacing w:after="200"/>
      </w:pPr>
    </w:p>
    <w:p>
      <w:pPr>
        <w:pStyle w:val="Heading1"/>
        <w:spacing w:after="160" w:before="360"/>
      </w:pPr>
      <w:r>
        <w:rPr>
          <w:color w:val="1F3864"/>
        </w:rPr>
        <w:t xml:space="preserve">4. Application Services</w:t>
      </w:r>
    </w:p>
    <w:p>
      <w:pPr>
        <w:pStyle w:val="ListParagraph"/>
        <w:numPr>
          <w:ilvl w:val="0"/>
          <w:numId w:val="2"/>
        </w:numPr>
        <w:spacing w:after="80"/>
      </w:pPr>
      <w:r>
        <w:t xml:space="preserve">SSO Authentication Service</w:t>
      </w:r>
    </w:p>
    <w:p>
      <w:pPr>
        <w:pStyle w:val="ListParagraph"/>
        <w:numPr>
          <w:ilvl w:val="0"/>
          <w:numId w:val="2"/>
        </w:numPr>
        <w:spacing w:after="80"/>
      </w:pPr>
      <w:r>
        <w:t xml:space="preserve">User Provisioning Service</w:t>
      </w:r>
    </w:p>
    <w:p>
      <w:pPr>
        <w:pStyle w:val="Heading1"/>
        <w:spacing w:after="160" w:before="360"/>
      </w:pPr>
      <w:r>
        <w:rPr>
          <w:color w:val="1F3864"/>
        </w:rPr>
        <w:t xml:space="preserve">5. Application Interfaces</w:t>
      </w:r>
    </w:p>
    <w:p>
      <w:pPr>
        <w:pStyle w:val="ListParagraph"/>
        <w:numPr>
          <w:ilvl w:val="0"/>
          <w:numId w:val="2"/>
        </w:numPr>
        <w:spacing w:after="80"/>
      </w:pPr>
      <w:r>
        <w:t xml:space="preserve">Azure AD Graph / SCIM Interface</w:t>
      </w:r>
    </w:p>
    <w:p>
      <w:pPr>
        <w:pStyle w:val="ListParagraph"/>
        <w:numPr>
          <w:ilvl w:val="0"/>
          <w:numId w:val="2"/>
        </w:numPr>
        <w:spacing w:after="80"/>
      </w:pPr>
      <w:r>
        <w:t xml:space="preserve">SAML/OIDC Federation Interface</w:t>
      </w:r>
    </w:p>
    <w:p>
      <w:pPr>
        <w:pStyle w:val="ListParagraph"/>
        <w:numPr>
          <w:ilvl w:val="0"/>
          <w:numId w:val="2"/>
        </w:numPr>
        <w:spacing w:after="80"/>
      </w:pPr>
      <w:r>
        <w:t xml:space="preserve">SCIM Provisioning Interface</w:t>
      </w:r>
    </w:p>
    <w:p>
      <w:pPr>
        <w:pStyle w:val="Heading1"/>
        <w:spacing w:after="160" w:before="360"/>
      </w:pPr>
      <w:r>
        <w:rPr>
          <w:color w:val="1F3864"/>
        </w:rPr>
        <w:t xml:space="preserve">6. Integration Pattern</w:t>
      </w:r>
    </w:p>
    <w:p>
      <w:pPr>
        <w:spacing w:after="160"/>
      </w:pPr>
      <w:r>
        <w:rPr>
          <w:b w:val="false"/>
          <w:bCs w:val="false"/>
          <w:i w:val="false"/>
          <w:iCs w:val="false"/>
        </w:rPr>
        <w:t xml:space="preserve">Azure AD federates authentication to both SAP IAS tenants for SSO, and feeds both SAP IPS tenants as the source of identity data for provisioning. Each IPS tenant provisions user accounts via SCIM into its three corresponding landscape stages; each IAS tenant provides SSO to the same three stages via SAML/OIDC.</w:t>
      </w:r>
    </w:p>
    <w:p>
      <w:pPr>
        <w:pStyle w:val="Heading1"/>
        <w:spacing w:after="160" w:before="360"/>
      </w:pPr>
      <w:r>
        <w:rPr>
          <w:color w:val="1F3864"/>
        </w:rPr>
        <w:t xml:space="preserve">7. Clean Integration Principle</w:t>
      </w:r>
    </w:p>
    <w:p>
      <w:pPr>
        <w:spacing w:after="160"/>
      </w:pPr>
      <w:r>
        <w:rPr>
          <w:b w:val="false"/>
          <w:bCs w:val="false"/>
          <w:i w:val="false"/>
          <w:iCs w:val="false"/>
        </w:rPr>
        <w:t xml:space="preserve">Consistent with the principle “Federate Authentication – Do Not Replicate Passwords,” no password data is stored or synchronized outside Azure AD; SAP IAS performs federated authentication only, and SAP IPS provisions account and profile attributes, not credentials.</w:t>
      </w:r>
    </w:p>
    <w:p>
      <w:pPr>
        <w:pStyle w:val="Heading1"/>
        <w:spacing w:after="160" w:before="360"/>
      </w:pPr>
      <w:r>
        <w:rPr>
          <w:color w:val="1F3864"/>
        </w:rPr>
        <w:t xml:space="preserve">8. Traceability</w:t>
      </w:r>
    </w:p>
    <w:p>
      <w:pPr>
        <w:spacing w:after="160"/>
      </w:pPr>
      <w:r>
        <w:rPr>
          <w:b w:val="false"/>
          <w:bCs w:val="false"/>
          <w:i w:val="false"/>
          <w:iCs w:val="false"/>
        </w:rPr>
        <w:t xml:space="preserve">All application components, services, and interfaces listed above are modelled in the “Application” organization folder of the SAP Centralized IAM Repository and rendered in the “Baseline Architecture” and “Target Architecture” views.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SAP Centralized IAM Repository –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IAM – Application Architecture (Phase 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2026-08-13T10:47:36.907Z</dcterms:created>
  <dcterms:modified xsi:type="dcterms:W3CDTF">2026-08-13T10:47:36.907Z</dcterms:modified>
</cp:coreProperties>
</file>

<file path=docProps/custom.xml><?xml version="1.0" encoding="utf-8"?>
<Properties xmlns="http://schemas.openxmlformats.org/officeDocument/2006/custom-properties" xmlns:vt="http://schemas.openxmlformats.org/officeDocument/2006/docPropsVTypes"/>
</file>