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Technology Architecture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Centralized Identity &amp; Access Management – TOGAF ADM Phase 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 – Technology Architecture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Centralized IAM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Technology Architecture describes the infrastructure hosting Azure AD and the SAP IAS/IPS tenants.</w:t>
      </w:r>
    </w:p>
    <w:p>
      <w:pPr>
        <w:pStyle w:val="Heading1"/>
        <w:spacing w:after="160" w:before="360"/>
      </w:pPr>
      <w:r>
        <w:rPr>
          <w:color w:val="1F3864"/>
        </w:rPr>
        <w:t xml:space="preserve">2. Infrastructure Nodes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Cloud Tenant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Identity Services Runtime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Technology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Federation Infrastructure Service</w:t>
      </w:r>
    </w:p>
    <w:p>
      <w:pPr>
        <w:pStyle w:val="Heading1"/>
        <w:spacing w:after="160" w:before="360"/>
      </w:pPr>
      <w:r>
        <w:rPr>
          <w:color w:val="1F3864"/>
        </w:rPr>
        <w:t xml:space="preserve">4. Hosting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Active Directory runs on the Azure Cloud Tenant, managed by the Azure Platform Owner.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IAS – S/4HANA, SAP IAS – SuccessFactors, SAP IPS – S/4HANA, and SAP IPS – SuccessFactors all run on the SAP BTP Identity Services Runtime, managed by the SAP Basis Team Lead.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Identity Federation Infrastructure Service underlies both SAP IAS tenants, supporting SAML/OIDC federation and SCIM-based provisioning.</w:t>
      </w:r>
    </w:p>
    <w:p>
      <w:pPr>
        <w:pStyle w:val="Heading1"/>
        <w:spacing w:after="160" w:before="360"/>
      </w:pPr>
      <w:r>
        <w:rPr>
          <w:color w:val="1F3864"/>
        </w:rPr>
        <w:t xml:space="preserve">5. Availability and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IAS and SAP IPS tenants inherit SAP BTP's standard availability SLA.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federation and provisioning traffic between Azure AD and SAP BTP is encrypted in transit (TLS).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credential data traverses the Identity Federation Infrastructure Service – only federated tokens and profile attributes.</w:t>
      </w:r>
    </w:p>
    <w:p>
      <w:pPr>
        <w:pStyle w:val="Heading1"/>
        <w:spacing w:after="160" w:before="360"/>
      </w:pPr>
      <w:r>
        <w:rPr>
          <w:color w:val="1F3864"/>
        </w:rPr>
        <w:t xml:space="preserve">6.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nodes and technology services listed above are modelled in the “Technology &amp; Physical” organization folder of the SAP Centralized IAM Repository and rendered in the “Technology Architecture” 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Centralized IAM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IAM – Technology Architecture (Phase 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2026-08-13T10:47:37.080Z</dcterms:created>
  <dcterms:modified xsi:type="dcterms:W3CDTF">2026-08-13T10:47:37.081Z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