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E74B5"/>
          <w:sz w:val="24"/>
          <w:szCs w:val="24"/>
        </w:rPr>
        <w:t xml:space="preserve">SAP RISE with SAP S/4HANA Cloud</w:t>
      </w:r>
    </w:p>
    <w:p>
      <w:pPr>
        <w:spacing w:after="400"/>
      </w:pPr>
      <w:r>
        <w:rPr>
          <w:b/>
          <w:bCs/>
          <w:color w:val="1F3864"/>
          <w:sz w:val="56"/>
          <w:szCs w:val="56"/>
        </w:rPr>
        <w:t xml:space="preserve">Architecture Requirements Specification</w:t>
      </w:r>
    </w:p>
    <w:p>
      <w:pPr>
        <w:spacing w:after="1200"/>
      </w:pPr>
      <w:r>
        <w:rPr>
          <w:i/>
          <w:iCs/>
          <w:color w:val="595959"/>
          <w:sz w:val="28"/>
          <w:szCs w:val="28"/>
        </w:rPr>
        <w:t xml:space="preserve">Centralized Identity &amp; Access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6500"/>
            <w:shd w:fill="1F3864" w:val="clear"/>
            <w:tcMar>
              <w:top w:type="dxa" w:w="80"/>
              <w:left w:type="dxa" w:w="120"/>
              <w:bottom w:type="dxa" w:w="80"/>
              <w:right w:type="dxa" w:w="120"/>
            </w:tcMar>
            <w:vAlign w:val="center"/>
          </w:tcPr>
          <w:p>
            <w:r>
              <w:rPr>
                <w:b/>
                <w:bCs/>
                <w:color w:val="FFFFFF"/>
                <w:sz w:val="20"/>
                <w:szCs w:val="20"/>
              </w:rPr>
              <w:t xml:space="preserve">Value</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Programme</w:t>
            </w:r>
          </w:p>
        </w:tc>
        <w:tc>
          <w:tcPr>
            <w:tcW w:type="dxa" w:w="6500"/>
            <w:tcMar>
              <w:top w:type="dxa" w:w="80"/>
              <w:left w:type="dxa" w:w="120"/>
              <w:bottom w:type="dxa" w:w="80"/>
              <w:right w:type="dxa" w:w="120"/>
            </w:tcMar>
            <w:vAlign w:val="center"/>
          </w:tcPr>
          <w:p>
            <w:r>
              <w:rPr>
                <w:b w:val="false"/>
                <w:bCs w:val="false"/>
                <w:color w:val="000000"/>
                <w:sz w:val="20"/>
                <w:szCs w:val="20"/>
              </w:rPr>
              <w:t xml:space="preserve">SAP RISE with SAP S/4HANA Cloud – Enterprise Transformation</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TOGAF ADM Phase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Cross-Phase – Requirements Management</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Architecture Repository</w:t>
            </w:r>
          </w:p>
        </w:tc>
        <w:tc>
          <w:tcPr>
            <w:tcW w:type="dxa" w:w="6500"/>
            <w:tcMar>
              <w:top w:type="dxa" w:w="80"/>
              <w:left w:type="dxa" w:w="120"/>
              <w:bottom w:type="dxa" w:w="80"/>
              <w:right w:type="dxa" w:w="120"/>
            </w:tcMar>
            <w:vAlign w:val="center"/>
          </w:tcPr>
          <w:p>
            <w:r>
              <w:rPr>
                <w:b w:val="false"/>
                <w:bCs w:val="false"/>
                <w:color w:val="000000"/>
                <w:sz w:val="20"/>
                <w:szCs w:val="20"/>
              </w:rPr>
              <w:t xml:space="preserve">SAP Centralized IAM Repository (ArchiMate 3.x model)</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Document Status</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Draft for Review</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Version</w:t>
            </w:r>
          </w:p>
        </w:tc>
        <w:tc>
          <w:tcPr>
            <w:tcW w:type="dxa" w:w="6500"/>
            <w:tcMar>
              <w:top w:type="dxa" w:w="80"/>
              <w:left w:type="dxa" w:w="120"/>
              <w:bottom w:type="dxa" w:w="80"/>
              <w:right w:type="dxa" w:w="120"/>
            </w:tcMar>
            <w:vAlign w:val="center"/>
          </w:tcPr>
          <w:p>
            <w:r>
              <w:rPr>
                <w:b w:val="false"/>
                <w:bCs w:val="false"/>
                <w:color w:val="000000"/>
                <w:sz w:val="20"/>
                <w:szCs w:val="20"/>
              </w:rPr>
              <w:t xml:space="preserve">0.1</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2026-08-13</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Prepared By</w:t>
            </w:r>
          </w:p>
        </w:tc>
        <w:tc>
          <w:tcPr>
            <w:tcW w:type="dxa" w:w="6500"/>
            <w:tcMar>
              <w:top w:type="dxa" w:w="80"/>
              <w:left w:type="dxa" w:w="120"/>
              <w:bottom w:type="dxa" w:w="80"/>
              <w:right w:type="dxa" w:w="120"/>
            </w:tcMar>
            <w:vAlign w:val="center"/>
          </w:tcPr>
          <w:p>
            <w:r>
              <w:rPr>
                <w:b w:val="false"/>
                <w:bCs w:val="false"/>
                <w:color w:val="000000"/>
                <w:sz w:val="20"/>
                <w:szCs w:val="20"/>
              </w:rPr>
              <w:t xml:space="preserve">Enterprise Architecture Team</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Classification</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Internal</w:t>
            </w:r>
          </w:p>
        </w:tc>
      </w:tr>
    </w:tbl>
    <w:p>
      <w:r>
        <w:br w:type="page"/>
      </w:r>
    </w:p>
    <w:p>
      <w:pPr>
        <w:pStyle w:val="Heading1"/>
        <w:spacing w:after="160" w:before="360"/>
      </w:pPr>
      <w:r>
        <w:rPr>
          <w:color w:val="1F3864"/>
        </w:rPr>
        <w:t xml:space="preserve">1. Introduction</w:t>
      </w:r>
    </w:p>
    <w:p>
      <w:pPr>
        <w:spacing w:after="160"/>
      </w:pPr>
      <w:r>
        <w:rPr>
          <w:b w:val="false"/>
          <w:bCs w:val="false"/>
          <w:i w:val="false"/>
          <w:iCs w:val="false"/>
        </w:rPr>
        <w:t xml:space="preserve">This Architecture Requirements Specification consolidates the requirements captured in the Motivation layer of the SAP Centralized IAM Repository, maintained across all ADM phases and used as the basis for compliance assessment in Phase G.</w:t>
      </w:r>
    </w:p>
    <w:p>
      <w:pPr>
        <w:pStyle w:val="Heading1"/>
        <w:spacing w:after="160" w:before="360"/>
      </w:pPr>
      <w:r>
        <w:rPr>
          <w:color w:val="1F3864"/>
        </w:rPr>
        <w:t xml:space="preserve">2. Requirements Traceability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2600"/>
      </w:tblGrid>
      <w:tr>
        <w:trPr>
          <w:tblHeader/>
        </w:trPr>
        <w:tc>
          <w:tcPr>
            <w:tcW w:type="dxa" w:w="1000"/>
            <w:shd w:fill="1F3864" w:val="clear"/>
            <w:tcMar>
              <w:top w:type="dxa" w:w="80"/>
              <w:left w:type="dxa" w:w="120"/>
              <w:bottom w:type="dxa" w:w="80"/>
              <w:right w:type="dxa" w:w="120"/>
            </w:tcMar>
            <w:vAlign w:val="center"/>
          </w:tcPr>
          <w:p>
            <w:r>
              <w:rPr>
                <w:b/>
                <w:bCs/>
                <w:color w:val="FFFFFF"/>
                <w:sz w:val="20"/>
                <w:szCs w:val="20"/>
              </w:rPr>
              <w:t xml:space="preserve">Ref</w:t>
            </w:r>
          </w:p>
        </w:tc>
        <w:tc>
          <w:tcPr>
            <w:tcW w:type="dxa" w:w="5400"/>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2600"/>
            <w:shd w:fill="1F3864" w:val="clear"/>
            <w:tcMar>
              <w:top w:type="dxa" w:w="80"/>
              <w:left w:type="dxa" w:w="120"/>
              <w:bottom w:type="dxa" w:w="80"/>
              <w:right w:type="dxa" w:w="120"/>
            </w:tcMar>
            <w:vAlign w:val="center"/>
          </w:tcPr>
          <w:p>
            <w:r>
              <w:rPr>
                <w:b/>
                <w:bCs/>
                <w:color w:val="FFFFFF"/>
                <w:sz w:val="20"/>
                <w:szCs w:val="20"/>
              </w:rPr>
              <w:t xml:space="preserve">Related Goal</w:t>
            </w:r>
          </w:p>
        </w:tc>
      </w:tr>
      <w:tr>
        <w:tc>
          <w:tcPr>
            <w:tcW w:type="dxa" w:w="1000"/>
            <w:tcMar>
              <w:top w:type="dxa" w:w="80"/>
              <w:left w:type="dxa" w:w="120"/>
              <w:bottom w:type="dxa" w:w="80"/>
              <w:right w:type="dxa" w:w="120"/>
            </w:tcMar>
            <w:vAlign w:val="center"/>
          </w:tcPr>
          <w:p>
            <w:r>
              <w:rPr>
                <w:b w:val="false"/>
                <w:bCs w:val="false"/>
                <w:color w:val="000000"/>
                <w:sz w:val="20"/>
                <w:szCs w:val="20"/>
              </w:rPr>
              <w:t xml:space="preserve">REQ-1</w:t>
            </w:r>
          </w:p>
        </w:tc>
        <w:tc>
          <w:tcPr>
            <w:tcW w:type="dxa" w:w="5400"/>
            <w:tcMar>
              <w:top w:type="dxa" w:w="80"/>
              <w:left w:type="dxa" w:w="120"/>
              <w:bottom w:type="dxa" w:w="80"/>
              <w:right w:type="dxa" w:w="120"/>
            </w:tcMar>
            <w:vAlign w:val="center"/>
          </w:tcPr>
          <w:p>
            <w:r>
              <w:rPr>
                <w:b w:val="false"/>
                <w:bCs w:val="false"/>
                <w:color w:val="000000"/>
                <w:sz w:val="20"/>
                <w:szCs w:val="20"/>
              </w:rPr>
              <w:t xml:space="preserve">System shall provision users automatically from Azure AD via SAP Cloud Identity Services</w:t>
            </w:r>
          </w:p>
        </w:tc>
        <w:tc>
          <w:tcPr>
            <w:tcW w:type="dxa" w:w="2600"/>
            <w:tcMar>
              <w:top w:type="dxa" w:w="80"/>
              <w:left w:type="dxa" w:w="120"/>
              <w:bottom w:type="dxa" w:w="80"/>
              <w:right w:type="dxa" w:w="120"/>
            </w:tcMar>
            <w:vAlign w:val="center"/>
          </w:tcPr>
          <w:p>
            <w:r>
              <w:rPr>
                <w:b w:val="false"/>
                <w:bCs w:val="false"/>
                <w:color w:val="000000"/>
                <w:sz w:val="20"/>
                <w:szCs w:val="20"/>
              </w:rPr>
              <w:t xml:space="preserve">Achieve Single Source of Identity Truth (Azure AD)</w:t>
            </w:r>
          </w:p>
        </w:tc>
      </w:tr>
      <w:tr>
        <w:tc>
          <w:tcPr>
            <w:tcW w:type="dxa" w:w="1000"/>
            <w:shd w:fill="F2F2F2" w:val="clear"/>
            <w:tcMar>
              <w:top w:type="dxa" w:w="80"/>
              <w:left w:type="dxa" w:w="120"/>
              <w:bottom w:type="dxa" w:w="80"/>
              <w:right w:type="dxa" w:w="120"/>
            </w:tcMar>
            <w:vAlign w:val="center"/>
          </w:tcPr>
          <w:p>
            <w:r>
              <w:rPr>
                <w:b w:val="false"/>
                <w:bCs w:val="false"/>
                <w:color w:val="000000"/>
                <w:sz w:val="20"/>
                <w:szCs w:val="20"/>
              </w:rPr>
              <w:t xml:space="preserve">REQ-2</w:t>
            </w:r>
          </w:p>
        </w:tc>
        <w:tc>
          <w:tcPr>
            <w:tcW w:type="dxa" w:w="5400"/>
            <w:shd w:fill="F2F2F2" w:val="clear"/>
            <w:tcMar>
              <w:top w:type="dxa" w:w="80"/>
              <w:left w:type="dxa" w:w="120"/>
              <w:bottom w:type="dxa" w:w="80"/>
              <w:right w:type="dxa" w:w="120"/>
            </w:tcMar>
            <w:vAlign w:val="center"/>
          </w:tcPr>
          <w:p>
            <w:r>
              <w:rPr>
                <w:b w:val="false"/>
                <w:bCs w:val="false"/>
                <w:color w:val="000000"/>
                <w:sz w:val="20"/>
                <w:szCs w:val="20"/>
              </w:rPr>
              <w:t xml:space="preserve">System shall support SCIM-based provisioning through SAP IPS</w:t>
            </w:r>
          </w:p>
        </w:tc>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Automate User Provisioning to the SAP Landscape</w:t>
            </w:r>
          </w:p>
        </w:tc>
      </w:tr>
      <w:tr>
        <w:tc>
          <w:tcPr>
            <w:tcW w:type="dxa" w:w="1000"/>
            <w:tcMar>
              <w:top w:type="dxa" w:w="80"/>
              <w:left w:type="dxa" w:w="120"/>
              <w:bottom w:type="dxa" w:w="80"/>
              <w:right w:type="dxa" w:w="120"/>
            </w:tcMar>
            <w:vAlign w:val="center"/>
          </w:tcPr>
          <w:p>
            <w:r>
              <w:rPr>
                <w:b w:val="false"/>
                <w:bCs w:val="false"/>
                <w:color w:val="000000"/>
                <w:sz w:val="20"/>
                <w:szCs w:val="20"/>
              </w:rPr>
              <w:t xml:space="preserve">REQ-3</w:t>
            </w:r>
          </w:p>
        </w:tc>
        <w:tc>
          <w:tcPr>
            <w:tcW w:type="dxa" w:w="5400"/>
            <w:tcMar>
              <w:top w:type="dxa" w:w="80"/>
              <w:left w:type="dxa" w:w="120"/>
              <w:bottom w:type="dxa" w:w="80"/>
              <w:right w:type="dxa" w:w="120"/>
            </w:tcMar>
            <w:vAlign w:val="center"/>
          </w:tcPr>
          <w:p>
            <w:r>
              <w:rPr>
                <w:b w:val="false"/>
                <w:bCs w:val="false"/>
                <w:color w:val="000000"/>
                <w:sz w:val="20"/>
                <w:szCs w:val="20"/>
              </w:rPr>
              <w:t xml:space="preserve">System shall enforce Single Sign-On via SAP IAS for all SAP applications</w:t>
            </w:r>
          </w:p>
        </w:tc>
        <w:tc>
          <w:tcPr>
            <w:tcW w:type="dxa" w:w="2600"/>
            <w:tcMar>
              <w:top w:type="dxa" w:w="80"/>
              <w:left w:type="dxa" w:w="120"/>
              <w:bottom w:type="dxa" w:w="80"/>
              <w:right w:type="dxa" w:w="120"/>
            </w:tcMar>
            <w:vAlign w:val="center"/>
          </w:tcPr>
          <w:p>
            <w:r>
              <w:rPr>
                <w:b w:val="false"/>
                <w:bCs w:val="false"/>
                <w:color w:val="000000"/>
                <w:sz w:val="20"/>
                <w:szCs w:val="20"/>
              </w:rPr>
              <w:t xml:space="preserve">Reduce Onboarding and Offboarding Time</w:t>
            </w:r>
          </w:p>
        </w:tc>
      </w:tr>
      <w:tr>
        <w:tc>
          <w:tcPr>
            <w:tcW w:type="dxa" w:w="1000"/>
            <w:shd w:fill="F2F2F2" w:val="clear"/>
            <w:tcMar>
              <w:top w:type="dxa" w:w="80"/>
              <w:left w:type="dxa" w:w="120"/>
              <w:bottom w:type="dxa" w:w="80"/>
              <w:right w:type="dxa" w:w="120"/>
            </w:tcMar>
            <w:vAlign w:val="center"/>
          </w:tcPr>
          <w:p>
            <w:r>
              <w:rPr>
                <w:b w:val="false"/>
                <w:bCs w:val="false"/>
                <w:color w:val="000000"/>
                <w:sz w:val="20"/>
                <w:szCs w:val="20"/>
              </w:rPr>
              <w:t xml:space="preserve">REQ-4</w:t>
            </w:r>
          </w:p>
        </w:tc>
        <w:tc>
          <w:tcPr>
            <w:tcW w:type="dxa" w:w="5400"/>
            <w:shd w:fill="F2F2F2" w:val="clear"/>
            <w:tcMar>
              <w:top w:type="dxa" w:w="80"/>
              <w:left w:type="dxa" w:w="120"/>
              <w:bottom w:type="dxa" w:w="80"/>
              <w:right w:type="dxa" w:w="120"/>
            </w:tcMar>
            <w:vAlign w:val="center"/>
          </w:tcPr>
          <w:p>
            <w:r>
              <w:rPr>
                <w:b w:val="false"/>
                <w:bCs w:val="false"/>
                <w:color w:val="000000"/>
                <w:sz w:val="20"/>
                <w:szCs w:val="20"/>
              </w:rPr>
              <w:t xml:space="preserve">System shall maintain identity isolation per landscape stage (Development / Acceptance / Production)</w:t>
            </w:r>
          </w:p>
        </w:tc>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Eliminate System-Local User Management</w:t>
            </w:r>
          </w:p>
        </w:tc>
      </w:tr>
      <w:tr>
        <w:tc>
          <w:tcPr>
            <w:tcW w:type="dxa" w:w="1000"/>
            <w:tcMar>
              <w:top w:type="dxa" w:w="80"/>
              <w:left w:type="dxa" w:w="120"/>
              <w:bottom w:type="dxa" w:w="80"/>
              <w:right w:type="dxa" w:w="120"/>
            </w:tcMar>
            <w:vAlign w:val="center"/>
          </w:tcPr>
          <w:p>
            <w:r>
              <w:rPr>
                <w:b w:val="false"/>
                <w:bCs w:val="false"/>
                <w:color w:val="000000"/>
                <w:sz w:val="20"/>
                <w:szCs w:val="20"/>
              </w:rPr>
              <w:t xml:space="preserve">REQ-5</w:t>
            </w:r>
          </w:p>
        </w:tc>
        <w:tc>
          <w:tcPr>
            <w:tcW w:type="dxa" w:w="5400"/>
            <w:tcMar>
              <w:top w:type="dxa" w:w="80"/>
              <w:left w:type="dxa" w:w="120"/>
              <w:bottom w:type="dxa" w:w="80"/>
              <w:right w:type="dxa" w:w="120"/>
            </w:tcMar>
            <w:vAlign w:val="center"/>
          </w:tcPr>
          <w:p>
            <w:r>
              <w:rPr>
                <w:b w:val="false"/>
                <w:bCs w:val="false"/>
                <w:color w:val="000000"/>
                <w:sz w:val="20"/>
                <w:szCs w:val="20"/>
              </w:rPr>
              <w:t xml:space="preserve">System shall de-provision (deactivate) users within 24 hours of Azure AD deactivation</w:t>
            </w:r>
          </w:p>
        </w:tc>
        <w:tc>
          <w:tcPr>
            <w:tcW w:type="dxa" w:w="2600"/>
            <w:tcMar>
              <w:top w:type="dxa" w:w="80"/>
              <w:left w:type="dxa" w:w="120"/>
              <w:bottom w:type="dxa" w:w="80"/>
              <w:right w:type="dxa" w:w="120"/>
            </w:tcMar>
            <w:vAlign w:val="center"/>
          </w:tcPr>
          <w:p>
            <w:r>
              <w:rPr>
                <w:b w:val="false"/>
                <w:bCs w:val="false"/>
                <w:color w:val="000000"/>
                <w:sz w:val="20"/>
                <w:szCs w:val="20"/>
              </w:rPr>
              <w:t xml:space="preserve">Achieve Single Source of Identity Truth (Azure AD)</w:t>
            </w:r>
          </w:p>
        </w:tc>
      </w:tr>
      <w:tr>
        <w:tc>
          <w:tcPr>
            <w:tcW w:type="dxa" w:w="1000"/>
            <w:shd w:fill="F2F2F2" w:val="clear"/>
            <w:tcMar>
              <w:top w:type="dxa" w:w="80"/>
              <w:left w:type="dxa" w:w="120"/>
              <w:bottom w:type="dxa" w:w="80"/>
              <w:right w:type="dxa" w:w="120"/>
            </w:tcMar>
            <w:vAlign w:val="center"/>
          </w:tcPr>
          <w:p>
            <w:r>
              <w:rPr>
                <w:b w:val="false"/>
                <w:bCs w:val="false"/>
                <w:color w:val="000000"/>
                <w:sz w:val="20"/>
                <w:szCs w:val="20"/>
              </w:rPr>
              <w:t xml:space="preserve">REQ-6</w:t>
            </w:r>
          </w:p>
        </w:tc>
        <w:tc>
          <w:tcPr>
            <w:tcW w:type="dxa" w:w="5400"/>
            <w:shd w:fill="F2F2F2" w:val="clear"/>
            <w:tcMar>
              <w:top w:type="dxa" w:w="80"/>
              <w:left w:type="dxa" w:w="120"/>
              <w:bottom w:type="dxa" w:w="80"/>
              <w:right w:type="dxa" w:w="120"/>
            </w:tcMar>
            <w:vAlign w:val="center"/>
          </w:tcPr>
          <w:p>
            <w:r>
              <w:rPr>
                <w:b w:val="false"/>
                <w:bCs w:val="false"/>
                <w:color w:val="000000"/>
                <w:sz w:val="20"/>
                <w:szCs w:val="20"/>
              </w:rPr>
              <w:t xml:space="preserve">System shall log all identity lifecycle events for audit purposes</w:t>
            </w:r>
          </w:p>
        </w:tc>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Automate User Provisioning to the SAP Landscape</w:t>
            </w:r>
          </w:p>
        </w:tc>
      </w:tr>
      <w:tr>
        <w:tc>
          <w:tcPr>
            <w:tcW w:type="dxa" w:w="1000"/>
            <w:tcMar>
              <w:top w:type="dxa" w:w="80"/>
              <w:left w:type="dxa" w:w="120"/>
              <w:bottom w:type="dxa" w:w="80"/>
              <w:right w:type="dxa" w:w="120"/>
            </w:tcMar>
            <w:vAlign w:val="center"/>
          </w:tcPr>
          <w:p>
            <w:r>
              <w:rPr>
                <w:b w:val="false"/>
                <w:bCs w:val="false"/>
                <w:color w:val="000000"/>
                <w:sz w:val="20"/>
                <w:szCs w:val="20"/>
              </w:rPr>
              <w:t xml:space="preserve">REQ-7</w:t>
            </w:r>
          </w:p>
        </w:tc>
        <w:tc>
          <w:tcPr>
            <w:tcW w:type="dxa" w:w="5400"/>
            <w:tcMar>
              <w:top w:type="dxa" w:w="80"/>
              <w:left w:type="dxa" w:w="120"/>
              <w:bottom w:type="dxa" w:w="80"/>
              <w:right w:type="dxa" w:w="120"/>
            </w:tcMar>
            <w:vAlign w:val="center"/>
          </w:tcPr>
          <w:p>
            <w:r>
              <w:rPr>
                <w:b w:val="false"/>
                <w:bCs w:val="false"/>
                <w:color w:val="000000"/>
                <w:sz w:val="20"/>
                <w:szCs w:val="20"/>
              </w:rPr>
              <w:t xml:space="preserve">System shall support role-based access assignment during provisioning</w:t>
            </w:r>
          </w:p>
        </w:tc>
        <w:tc>
          <w:tcPr>
            <w:tcW w:type="dxa" w:w="2600"/>
            <w:tcMar>
              <w:top w:type="dxa" w:w="80"/>
              <w:left w:type="dxa" w:w="120"/>
              <w:bottom w:type="dxa" w:w="80"/>
              <w:right w:type="dxa" w:w="120"/>
            </w:tcMar>
            <w:vAlign w:val="center"/>
          </w:tcPr>
          <w:p>
            <w:r>
              <w:rPr>
                <w:b w:val="false"/>
                <w:bCs w:val="false"/>
                <w:color w:val="000000"/>
                <w:sz w:val="20"/>
                <w:szCs w:val="20"/>
              </w:rPr>
              <w:t xml:space="preserve">Reduce Onboarding and Offboarding Time</w:t>
            </w:r>
          </w:p>
        </w:tc>
      </w:tr>
    </w:tbl>
    <w:p>
      <w:pPr>
        <w:spacing w:after="200"/>
      </w:pPr>
    </w:p>
    <w:p>
      <w:pPr>
        <w:pStyle w:val="Heading1"/>
        <w:spacing w:after="160" w:before="360"/>
      </w:pPr>
      <w:r>
        <w:rPr>
          <w:color w:val="1F3864"/>
        </w:rPr>
        <w:t xml:space="preserve">3. Architecture Principles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3864" w:val="clear"/>
            <w:tcMar>
              <w:top w:type="dxa" w:w="80"/>
              <w:left w:type="dxa" w:w="120"/>
              <w:bottom w:type="dxa" w:w="80"/>
              <w:right w:type="dxa" w:w="120"/>
            </w:tcMar>
            <w:vAlign w:val="center"/>
          </w:tcPr>
          <w:p>
            <w:r>
              <w:rPr>
                <w:b/>
                <w:bCs/>
                <w:color w:val="FFFFFF"/>
                <w:sz w:val="20"/>
                <w:szCs w:val="20"/>
              </w:rPr>
              <w:t xml:space="preserve">Ref</w:t>
            </w:r>
          </w:p>
        </w:tc>
        <w:tc>
          <w:tcPr>
            <w:tcW w:type="dxa" w:w="7800"/>
            <w:shd w:fill="1F3864" w:val="clear"/>
            <w:tcMar>
              <w:top w:type="dxa" w:w="80"/>
              <w:left w:type="dxa" w:w="120"/>
              <w:bottom w:type="dxa" w:w="80"/>
              <w:right w:type="dxa" w:w="120"/>
            </w:tcMar>
            <w:vAlign w:val="center"/>
          </w:tcPr>
          <w:p>
            <w:r>
              <w:rPr>
                <w:b/>
                <w:bCs/>
                <w:color w:val="FFFFFF"/>
                <w:sz w:val="20"/>
                <w:szCs w:val="20"/>
              </w:rPr>
              <w:t xml:space="preserve">Principle</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PRIN-1</w:t>
            </w:r>
          </w:p>
        </w:tc>
        <w:tc>
          <w:tcPr>
            <w:tcW w:type="dxa" w:w="7800"/>
            <w:tcMar>
              <w:top w:type="dxa" w:w="80"/>
              <w:left w:type="dxa" w:w="120"/>
              <w:bottom w:type="dxa" w:w="80"/>
              <w:right w:type="dxa" w:w="120"/>
            </w:tcMar>
            <w:vAlign w:val="center"/>
          </w:tcPr>
          <w:p>
            <w:r>
              <w:rPr>
                <w:b w:val="false"/>
                <w:bCs w:val="false"/>
                <w:color w:val="000000"/>
                <w:sz w:val="20"/>
                <w:szCs w:val="20"/>
              </w:rPr>
              <w:t xml:space="preserve">Azure AD is the Single Master Source of Identity</w:t>
            </w:r>
          </w:p>
        </w:tc>
      </w:tr>
      <w:tr>
        <w:tc>
          <w:tcPr>
            <w:tcW w:type="dxa" w:w="1200"/>
            <w:shd w:fill="F2F2F2" w:val="clear"/>
            <w:tcMar>
              <w:top w:type="dxa" w:w="80"/>
              <w:left w:type="dxa" w:w="120"/>
              <w:bottom w:type="dxa" w:w="80"/>
              <w:right w:type="dxa" w:w="120"/>
            </w:tcMar>
            <w:vAlign w:val="center"/>
          </w:tcPr>
          <w:p>
            <w:r>
              <w:rPr>
                <w:b w:val="false"/>
                <w:bCs w:val="false"/>
                <w:color w:val="000000"/>
                <w:sz w:val="20"/>
                <w:szCs w:val="20"/>
              </w:rPr>
              <w:t xml:space="preserve">PRIN-2</w:t>
            </w:r>
          </w:p>
        </w:tc>
        <w:tc>
          <w:tcPr>
            <w:tcW w:type="dxa" w:w="7800"/>
            <w:shd w:fill="F2F2F2" w:val="clear"/>
            <w:tcMar>
              <w:top w:type="dxa" w:w="80"/>
              <w:left w:type="dxa" w:w="120"/>
              <w:bottom w:type="dxa" w:w="80"/>
              <w:right w:type="dxa" w:w="120"/>
            </w:tcMar>
            <w:vAlign w:val="center"/>
          </w:tcPr>
          <w:p>
            <w:r>
              <w:rPr>
                <w:b w:val="false"/>
                <w:bCs w:val="false"/>
                <w:color w:val="000000"/>
                <w:sz w:val="20"/>
                <w:szCs w:val="20"/>
              </w:rPr>
              <w:t xml:space="preserve">Provisioning is Automated, Not Manual</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PRIN-3</w:t>
            </w:r>
          </w:p>
        </w:tc>
        <w:tc>
          <w:tcPr>
            <w:tcW w:type="dxa" w:w="7800"/>
            <w:tcMar>
              <w:top w:type="dxa" w:w="80"/>
              <w:left w:type="dxa" w:w="120"/>
              <w:bottom w:type="dxa" w:w="80"/>
              <w:right w:type="dxa" w:w="120"/>
            </w:tcMar>
            <w:vAlign w:val="center"/>
          </w:tcPr>
          <w:p>
            <w:r>
              <w:rPr>
                <w:b w:val="false"/>
                <w:bCs w:val="false"/>
                <w:color w:val="000000"/>
                <w:sz w:val="20"/>
                <w:szCs w:val="20"/>
              </w:rPr>
              <w:t xml:space="preserve">Environments Remain Isolated (Development / Acceptance / Production)</w:t>
            </w:r>
          </w:p>
        </w:tc>
      </w:tr>
      <w:tr>
        <w:tc>
          <w:tcPr>
            <w:tcW w:type="dxa" w:w="1200"/>
            <w:shd w:fill="F2F2F2" w:val="clear"/>
            <w:tcMar>
              <w:top w:type="dxa" w:w="80"/>
              <w:left w:type="dxa" w:w="120"/>
              <w:bottom w:type="dxa" w:w="80"/>
              <w:right w:type="dxa" w:w="120"/>
            </w:tcMar>
            <w:vAlign w:val="center"/>
          </w:tcPr>
          <w:p>
            <w:r>
              <w:rPr>
                <w:b w:val="false"/>
                <w:bCs w:val="false"/>
                <w:color w:val="000000"/>
                <w:sz w:val="20"/>
                <w:szCs w:val="20"/>
              </w:rPr>
              <w:t xml:space="preserve">PRIN-4</w:t>
            </w:r>
          </w:p>
        </w:tc>
        <w:tc>
          <w:tcPr>
            <w:tcW w:type="dxa" w:w="7800"/>
            <w:shd w:fill="F2F2F2" w:val="clear"/>
            <w:tcMar>
              <w:top w:type="dxa" w:w="80"/>
              <w:left w:type="dxa" w:w="120"/>
              <w:bottom w:type="dxa" w:w="80"/>
              <w:right w:type="dxa" w:w="120"/>
            </w:tcMar>
            <w:vAlign w:val="center"/>
          </w:tcPr>
          <w:p>
            <w:r>
              <w:rPr>
                <w:b w:val="false"/>
                <w:bCs w:val="false"/>
                <w:color w:val="000000"/>
                <w:sz w:val="20"/>
                <w:szCs w:val="20"/>
              </w:rPr>
              <w:t xml:space="preserve">Federate Authentication – Do Not Replicate Passwords</w:t>
            </w:r>
          </w:p>
        </w:tc>
      </w:tr>
    </w:tbl>
    <w:p>
      <w:pPr>
        <w:spacing w:after="200"/>
      </w:pPr>
    </w:p>
    <w:p>
      <w:pPr>
        <w:pStyle w:val="Heading1"/>
        <w:spacing w:after="160" w:before="360"/>
      </w:pPr>
      <w:r>
        <w:rPr>
          <w:color w:val="1F3864"/>
        </w:rPr>
        <w:t xml:space="preserve">4.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3864" w:val="clear"/>
            <w:tcMar>
              <w:top w:type="dxa" w:w="80"/>
              <w:left w:type="dxa" w:w="120"/>
              <w:bottom w:type="dxa" w:w="80"/>
              <w:right w:type="dxa" w:w="120"/>
            </w:tcMar>
            <w:vAlign w:val="center"/>
          </w:tcPr>
          <w:p>
            <w:r>
              <w:rPr>
                <w:b/>
                <w:bCs/>
                <w:color w:val="FFFFFF"/>
                <w:sz w:val="20"/>
                <w:szCs w:val="20"/>
              </w:rPr>
              <w:t xml:space="preserve">Ref</w:t>
            </w:r>
          </w:p>
        </w:tc>
        <w:tc>
          <w:tcPr>
            <w:tcW w:type="dxa" w:w="7800"/>
            <w:shd w:fill="1F3864" w:val="clear"/>
            <w:tcMar>
              <w:top w:type="dxa" w:w="80"/>
              <w:left w:type="dxa" w:w="120"/>
              <w:bottom w:type="dxa" w:w="80"/>
              <w:right w:type="dxa" w:w="120"/>
            </w:tcMar>
            <w:vAlign w:val="center"/>
          </w:tcPr>
          <w:p>
            <w:r>
              <w:rPr>
                <w:b/>
                <w:bCs/>
                <w:color w:val="FFFFFF"/>
                <w:sz w:val="20"/>
                <w:szCs w:val="20"/>
              </w:rPr>
              <w:t xml:space="preserve">Constraint</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CON-1</w:t>
            </w:r>
          </w:p>
        </w:tc>
        <w:tc>
          <w:tcPr>
            <w:tcW w:type="dxa" w:w="7800"/>
            <w:tcMar>
              <w:top w:type="dxa" w:w="80"/>
              <w:left w:type="dxa" w:w="120"/>
              <w:bottom w:type="dxa" w:w="80"/>
              <w:right w:type="dxa" w:w="120"/>
            </w:tcMar>
            <w:vAlign w:val="center"/>
          </w:tcPr>
          <w:p>
            <w:r>
              <w:rPr>
                <w:b w:val="false"/>
                <w:bCs w:val="false"/>
                <w:color w:val="000000"/>
                <w:sz w:val="20"/>
                <w:szCs w:val="20"/>
              </w:rPr>
              <w:t xml:space="preserve">Fixed Compliance Deadline for Access Governance</w:t>
            </w:r>
          </w:p>
        </w:tc>
      </w:tr>
      <w:tr>
        <w:tc>
          <w:tcPr>
            <w:tcW w:type="dxa" w:w="1200"/>
            <w:shd w:fill="F2F2F2" w:val="clear"/>
            <w:tcMar>
              <w:top w:type="dxa" w:w="80"/>
              <w:left w:type="dxa" w:w="120"/>
              <w:bottom w:type="dxa" w:w="80"/>
              <w:right w:type="dxa" w:w="120"/>
            </w:tcMar>
            <w:vAlign w:val="center"/>
          </w:tcPr>
          <w:p>
            <w:r>
              <w:rPr>
                <w:b w:val="false"/>
                <w:bCs w:val="false"/>
                <w:color w:val="000000"/>
                <w:sz w:val="20"/>
                <w:szCs w:val="20"/>
              </w:rPr>
              <w:t xml:space="preserve">CON-2</w:t>
            </w:r>
          </w:p>
        </w:tc>
        <w:tc>
          <w:tcPr>
            <w:tcW w:type="dxa" w:w="7800"/>
            <w:shd w:fill="F2F2F2" w:val="clear"/>
            <w:tcMar>
              <w:top w:type="dxa" w:w="80"/>
              <w:left w:type="dxa" w:w="120"/>
              <w:bottom w:type="dxa" w:w="80"/>
              <w:right w:type="dxa" w:w="120"/>
            </w:tcMar>
            <w:vAlign w:val="center"/>
          </w:tcPr>
          <w:p>
            <w:r>
              <w:rPr>
                <w:b w:val="false"/>
                <w:bCs w:val="false"/>
                <w:color w:val="000000"/>
                <w:sz w:val="20"/>
                <w:szCs w:val="20"/>
              </w:rPr>
              <w:t xml:space="preserve">No Direct Write-Back from SAP Systems to Azure AD (One-Way Sync)</w:t>
            </w:r>
          </w:p>
        </w:tc>
      </w:tr>
      <w:tr>
        <w:tc>
          <w:tcPr>
            <w:tcW w:type="dxa" w:w="1200"/>
            <w:tcMar>
              <w:top w:type="dxa" w:w="80"/>
              <w:left w:type="dxa" w:w="120"/>
              <w:bottom w:type="dxa" w:w="80"/>
              <w:right w:type="dxa" w:w="120"/>
            </w:tcMar>
            <w:vAlign w:val="center"/>
          </w:tcPr>
          <w:p>
            <w:r>
              <w:rPr>
                <w:b w:val="false"/>
                <w:bCs w:val="false"/>
                <w:color w:val="000000"/>
                <w:sz w:val="20"/>
                <w:szCs w:val="20"/>
              </w:rPr>
              <w:t xml:space="preserve">CON-3</w:t>
            </w:r>
          </w:p>
        </w:tc>
        <w:tc>
          <w:tcPr>
            <w:tcW w:type="dxa" w:w="7800"/>
            <w:tcMar>
              <w:top w:type="dxa" w:w="80"/>
              <w:left w:type="dxa" w:w="120"/>
              <w:bottom w:type="dxa" w:w="80"/>
              <w:right w:type="dxa" w:w="120"/>
            </w:tcMar>
            <w:vAlign w:val="center"/>
          </w:tcPr>
          <w:p>
            <w:r>
              <w:rPr>
                <w:b w:val="false"/>
                <w:bCs w:val="false"/>
                <w:color w:val="000000"/>
                <w:sz w:val="20"/>
                <w:szCs w:val="20"/>
              </w:rPr>
              <w:t xml:space="preserve">Production Identity Data May Not Flow to Non-Production Environments</w:t>
            </w:r>
          </w:p>
        </w:tc>
      </w:tr>
    </w:tbl>
    <w:p>
      <w:pPr>
        <w:spacing w:after="200"/>
      </w:pPr>
    </w:p>
    <w:p>
      <w:pPr>
        <w:pStyle w:val="Heading1"/>
        <w:spacing w:after="160" w:before="360"/>
      </w:pPr>
      <w:r>
        <w:rPr>
          <w:color w:val="1F3864"/>
        </w:rPr>
        <w:t xml:space="preserve">5. Assessments Informing Requirements</w:t>
      </w:r>
    </w:p>
    <w:p>
      <w:pPr>
        <w:pStyle w:val="ListParagraph"/>
        <w:numPr>
          <w:ilvl w:val="0"/>
          <w:numId w:val="2"/>
        </w:numPr>
        <w:spacing w:after="80"/>
      </w:pPr>
      <w:r>
        <w:t xml:space="preserve">Current-State Identity Sprawl Assessment</w:t>
      </w:r>
    </w:p>
    <w:p>
      <w:pPr>
        <w:pStyle w:val="ListParagraph"/>
        <w:numPr>
          <w:ilvl w:val="0"/>
          <w:numId w:val="2"/>
        </w:numPr>
        <w:spacing w:after="80"/>
      </w:pPr>
      <w:r>
        <w:t xml:space="preserve">Azure AD Readiness Assessment</w:t>
      </w:r>
    </w:p>
    <w:p>
      <w:pPr>
        <w:pStyle w:val="Heading1"/>
        <w:spacing w:after="160" w:before="360"/>
      </w:pPr>
      <w:r>
        <w:rPr>
          <w:color w:val="1F3864"/>
        </w:rPr>
        <w:t xml:space="preserve">6. Non-Functional Requirements Summary</w:t>
      </w:r>
    </w:p>
    <w:p>
      <w:pPr>
        <w:pStyle w:val="ListParagraph"/>
        <w:numPr>
          <w:ilvl w:val="0"/>
          <w:numId w:val="2"/>
        </w:numPr>
        <w:spacing w:after="80"/>
      </w:pPr>
      <w:r>
        <w:t xml:space="preserve">Security: no password replication outside Azure AD; federated authentication only.</w:t>
      </w:r>
    </w:p>
    <w:p>
      <w:pPr>
        <w:pStyle w:val="ListParagraph"/>
        <w:numPr>
          <w:ilvl w:val="0"/>
          <w:numId w:val="2"/>
        </w:numPr>
        <w:spacing w:after="80"/>
      </w:pPr>
      <w:r>
        <w:t xml:space="preserve">Compliance: full audit trail of identity lifecycle events (REQ-6).</w:t>
      </w:r>
    </w:p>
    <w:p>
      <w:pPr>
        <w:pStyle w:val="ListParagraph"/>
        <w:numPr>
          <w:ilvl w:val="0"/>
          <w:numId w:val="2"/>
        </w:numPr>
        <w:spacing w:after="80"/>
      </w:pPr>
      <w:r>
        <w:t xml:space="preserve">Timeliness: de-provisioning within 24 hours of Azure AD deactivation (REQ-5).</w:t>
      </w:r>
    </w:p>
    <w:p>
      <w:pPr>
        <w:pStyle w:val="ListParagraph"/>
        <w:numPr>
          <w:ilvl w:val="0"/>
          <w:numId w:val="2"/>
        </w:numPr>
        <w:spacing w:after="80"/>
      </w:pPr>
      <w:r>
        <w:t xml:space="preserve">Isolation: identity data does not cross landscape-stage boundaries (REQ-4, CON-3).</w:t>
      </w:r>
    </w:p>
    <w:p>
      <w:pPr>
        <w:pStyle w:val="Heading1"/>
        <w:spacing w:after="160" w:before="360"/>
      </w:pPr>
      <w:r>
        <w:rPr>
          <w:color w:val="1F3864"/>
        </w:rPr>
        <w:t xml:space="preserve">7. Change Control</w:t>
      </w:r>
    </w:p>
    <w:p>
      <w:pPr>
        <w:spacing w:after="160"/>
      </w:pPr>
      <w:r>
        <w:rPr>
          <w:b w:val="false"/>
          <w:bCs w:val="false"/>
          <w:i w:val="false"/>
          <w:iCs w:val="false"/>
        </w:rPr>
        <w:t xml:space="preserve">Changes to these requirements are managed through the Architecture Change Management process (Phase H) and recorded before being scheduled into a future Work Package.</w:t>
      </w:r>
    </w:p>
    <w:p>
      <w:pPr>
        <w:pStyle w:val="Heading1"/>
        <w:spacing w:after="160" w:before="360"/>
      </w:pPr>
      <w:r>
        <w:rPr>
          <w:color w:val="1F3864"/>
        </w:rPr>
        <w:t xml:space="preserve">8. Traceability</w:t>
      </w:r>
    </w:p>
    <w:p>
      <w:pPr>
        <w:spacing w:after="160"/>
      </w:pPr>
      <w:r>
        <w:rPr>
          <w:b w:val="false"/>
          <w:bCs w:val="false"/>
          <w:i w:val="false"/>
          <w:iCs w:val="false"/>
        </w:rPr>
        <w:t xml:space="preserve">All requirements, principles, and constraints listed above are modelled as first-class elements in the Motivation organization folder of the SAP Centralized IAM Repository and rendered in the “Requirements and Change Management” 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SAP Centralized IAM Repository –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IAM – Architecture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2026-08-13T10:47:37.247Z</dcterms:created>
  <dcterms:modified xsi:type="dcterms:W3CDTF">2026-08-13T10:47:37.247Z</dcterms:modified>
</cp:coreProperties>
</file>

<file path=docProps/custom.xml><?xml version="1.0" encoding="utf-8"?>
<Properties xmlns="http://schemas.openxmlformats.org/officeDocument/2006/custom-properties" xmlns:vt="http://schemas.openxmlformats.org/officeDocument/2006/docPropsVTypes"/>
</file>