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E74B5"/>
          <w:sz w:val="24"/>
          <w:szCs w:val="24"/>
        </w:rPr>
        <w:t xml:space="preserve">SAP RISE with SAP S/4HANA Cloud</w:t>
      </w:r>
    </w:p>
    <w:p>
      <w:pPr>
        <w:spacing w:after="400"/>
      </w:pPr>
      <w:r>
        <w:rPr>
          <w:b/>
          <w:bCs/>
          <w:color w:val="1F3864"/>
          <w:sz w:val="56"/>
          <w:szCs w:val="56"/>
        </w:rPr>
        <w:t xml:space="preserve">Architecture Vision</w:t>
      </w:r>
    </w:p>
    <w:p>
      <w:pPr>
        <w:spacing w:after="1200"/>
      </w:pPr>
      <w:r>
        <w:rPr>
          <w:i/>
          <w:iCs/>
          <w:color w:val="595959"/>
          <w:sz w:val="28"/>
          <w:szCs w:val="28"/>
        </w:rPr>
        <w:t xml:space="preserve">TOGAF ADM Phase A – SAP Enterprise Repository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6500"/>
            <w:shd w:fill="1F3864" w:val="clear"/>
            <w:tcMar>
              <w:top w:type="dxa" w:w="80"/>
              <w:left w:type="dxa" w:w="120"/>
              <w:bottom w:type="dxa" w:w="80"/>
              <w:right w:type="dxa" w:w="120"/>
            </w:tcMar>
            <w:vAlign w:val="center"/>
          </w:tcPr>
          <w:p>
            <w:r>
              <w:rPr>
                <w:b/>
                <w:bCs/>
                <w:color w:val="FFFFFF"/>
                <w:sz w:val="20"/>
                <w:szCs w:val="20"/>
              </w:rPr>
              <w:t xml:space="preserve">Value</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Programme</w:t>
            </w:r>
          </w:p>
        </w:tc>
        <w:tc>
          <w:tcPr>
            <w:tcW w:type="dxa" w:w="6500"/>
            <w:tcMar>
              <w:top w:type="dxa" w:w="80"/>
              <w:left w:type="dxa" w:w="120"/>
              <w:bottom w:type="dxa" w:w="80"/>
              <w:right w:type="dxa" w:w="120"/>
            </w:tcMar>
            <w:vAlign w:val="center"/>
          </w:tcPr>
          <w:p>
            <w:r>
              <w:rPr>
                <w:b w:val="false"/>
                <w:bCs w:val="false"/>
                <w:color w:val="000000"/>
                <w:sz w:val="20"/>
                <w:szCs w:val="20"/>
              </w:rPr>
              <w:t xml:space="preserve">SAP RISE with SAP S/4HANA Cloud – Enterprise Transformation</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TOGAF ADM Phase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Phase A – Architecture Vision</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Architecture Repository</w:t>
            </w:r>
          </w:p>
        </w:tc>
        <w:tc>
          <w:tcPr>
            <w:tcW w:type="dxa" w:w="6500"/>
            <w:tcMar>
              <w:top w:type="dxa" w:w="80"/>
              <w:left w:type="dxa" w:w="120"/>
              <w:bottom w:type="dxa" w:w="80"/>
              <w:right w:type="dxa" w:w="120"/>
            </w:tcMar>
            <w:vAlign w:val="center"/>
          </w:tcPr>
          <w:p>
            <w:r>
              <w:rPr>
                <w:b w:val="false"/>
                <w:bCs w:val="false"/>
                <w:color w:val="000000"/>
                <w:sz w:val="20"/>
                <w:szCs w:val="20"/>
              </w:rPr>
              <w:t xml:space="preserve">SAP Enterprise Repository (ArchiMate 3.x model)</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Document Status</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Draft for Review</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Version</w:t>
            </w:r>
          </w:p>
        </w:tc>
        <w:tc>
          <w:tcPr>
            <w:tcW w:type="dxa" w:w="6500"/>
            <w:tcMar>
              <w:top w:type="dxa" w:w="80"/>
              <w:left w:type="dxa" w:w="120"/>
              <w:bottom w:type="dxa" w:w="80"/>
              <w:right w:type="dxa" w:w="120"/>
            </w:tcMar>
            <w:vAlign w:val="center"/>
          </w:tcPr>
          <w:p>
            <w:r>
              <w:rPr>
                <w:b w:val="false"/>
                <w:bCs w:val="false"/>
                <w:color w:val="000000"/>
                <w:sz w:val="20"/>
                <w:szCs w:val="20"/>
              </w:rPr>
              <w:t xml:space="preserve">0.1</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Date</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2026-08-13</w:t>
            </w:r>
          </w:p>
        </w:tc>
      </w:tr>
      <w:tr>
        <w:tc>
          <w:tcPr>
            <w:tcW w:type="dxa" w:w="3000"/>
            <w:tcMar>
              <w:top w:type="dxa" w:w="80"/>
              <w:left w:type="dxa" w:w="120"/>
              <w:bottom w:type="dxa" w:w="80"/>
              <w:right w:type="dxa" w:w="120"/>
            </w:tcMar>
            <w:vAlign w:val="center"/>
          </w:tcPr>
          <w:p>
            <w:r>
              <w:rPr>
                <w:b w:val="false"/>
                <w:bCs w:val="false"/>
                <w:color w:val="000000"/>
                <w:sz w:val="20"/>
                <w:szCs w:val="20"/>
              </w:rPr>
              <w:t xml:space="preserve">Prepared By</w:t>
            </w:r>
          </w:p>
        </w:tc>
        <w:tc>
          <w:tcPr>
            <w:tcW w:type="dxa" w:w="6500"/>
            <w:tcMar>
              <w:top w:type="dxa" w:w="80"/>
              <w:left w:type="dxa" w:w="120"/>
              <w:bottom w:type="dxa" w:w="80"/>
              <w:right w:type="dxa" w:w="120"/>
            </w:tcMar>
            <w:vAlign w:val="center"/>
          </w:tcPr>
          <w:p>
            <w:r>
              <w:rPr>
                <w:b w:val="false"/>
                <w:bCs w:val="false"/>
                <w:color w:val="000000"/>
                <w:sz w:val="20"/>
                <w:szCs w:val="20"/>
              </w:rPr>
              <w:t xml:space="preserve">Enterprise Architecture Team</w:t>
            </w:r>
          </w:p>
        </w:tc>
      </w:tr>
      <w:tr>
        <w:tc>
          <w:tcPr>
            <w:tcW w:type="dxa" w:w="3000"/>
            <w:shd w:fill="F2F2F2" w:val="clear"/>
            <w:tcMar>
              <w:top w:type="dxa" w:w="80"/>
              <w:left w:type="dxa" w:w="120"/>
              <w:bottom w:type="dxa" w:w="80"/>
              <w:right w:type="dxa" w:w="120"/>
            </w:tcMar>
            <w:vAlign w:val="center"/>
          </w:tcPr>
          <w:p>
            <w:r>
              <w:rPr>
                <w:b w:val="false"/>
                <w:bCs w:val="false"/>
                <w:color w:val="000000"/>
                <w:sz w:val="20"/>
                <w:szCs w:val="20"/>
              </w:rPr>
              <w:t xml:space="preserve">Classification</w:t>
            </w:r>
          </w:p>
        </w:tc>
        <w:tc>
          <w:tcPr>
            <w:tcW w:type="dxa" w:w="6500"/>
            <w:shd w:fill="F2F2F2" w:val="clear"/>
            <w:tcMar>
              <w:top w:type="dxa" w:w="80"/>
              <w:left w:type="dxa" w:w="120"/>
              <w:bottom w:type="dxa" w:w="80"/>
              <w:right w:type="dxa" w:w="120"/>
            </w:tcMar>
            <w:vAlign w:val="center"/>
          </w:tcPr>
          <w:p>
            <w:r>
              <w:rPr>
                <w:b w:val="false"/>
                <w:bCs w:val="false"/>
                <w:color w:val="000000"/>
                <w:sz w:val="20"/>
                <w:szCs w:val="20"/>
              </w:rPr>
              <w:t xml:space="preserve">Internal</w:t>
            </w:r>
          </w:p>
        </w:tc>
      </w:tr>
    </w:tbl>
    <w:p>
      <w:r>
        <w:br w:type="page"/>
      </w:r>
    </w:p>
    <w:p>
      <w:pPr>
        <w:pStyle w:val="Heading1"/>
        <w:spacing w:after="160" w:before="360"/>
      </w:pPr>
      <w:r>
        <w:rPr>
          <w:color w:val="1F3864"/>
        </w:rPr>
        <w:t xml:space="preserve">1. Introduction</w:t>
      </w:r>
    </w:p>
    <w:p>
      <w:pPr>
        <w:spacing w:after="160"/>
      </w:pPr>
      <w:r>
        <w:rPr>
          <w:b w:val="false"/>
          <w:bCs w:val="false"/>
          <w:i w:val="false"/>
          <w:iCs w:val="false"/>
        </w:rPr>
        <w:t xml:space="preserve">This Architecture Vision defines the high-level scope, stakeholders, and outcomes for the SAP RISE with SAP S/4HANA Cloud transformation programme. It establishes the case for change, the target capabilities, and the value expected from the programme, and is the reference point against which the Business, Data, Application, and Technology Architectures (Phases B–D) are developed. This document is derived directly from the SAP Enterprise Repository (ArchiMate model), so every capability, stakeholder, driver, and goal referenced here has a corresponding element in the model.</w:t>
      </w:r>
    </w:p>
    <w:p>
      <w:pPr>
        <w:pStyle w:val="Heading1"/>
        <w:spacing w:after="160" w:before="360"/>
      </w:pPr>
      <w:r>
        <w:rPr>
          <w:color w:val="1F3864"/>
        </w:rPr>
        <w:t xml:space="preserve">2. Problem Statement</w:t>
      </w:r>
    </w:p>
    <w:p>
      <w:pPr>
        <w:spacing w:after="160"/>
      </w:pPr>
      <w:r>
        <w:rPr>
          <w:b w:val="false"/>
          <w:bCs w:val="false"/>
          <w:i w:val="false"/>
          <w:iCs w:val="false"/>
        </w:rPr>
        <w:t xml:space="preserve">The enterprise currently operates a landscape anchored on a legacy, heavily customized on-premise ERP estate (captured as the “Baseline Architecture (Legacy ERP)” plateau in the repository). This creates increasing cost of ownership, constrains business agility, and complicates regulatory compliance and reporting. The programme addresses this by migrating to SAP RISE with SAP S/4HANA Cloud on the SAP Business Technology Platform (BTP), following a clean-core extensibility model and a phased plateau-based migration approach.</w:t>
      </w:r>
    </w:p>
    <w:p>
      <w:pPr>
        <w:pStyle w:val="Heading1"/>
        <w:spacing w:after="160" w:before="360"/>
      </w:pPr>
      <w:r>
        <w:rPr>
          <w:color w:val="1F3864"/>
        </w:rPr>
        <w:t xml:space="preserve">3. Stakeholders</w:t>
      </w:r>
    </w:p>
    <w:p>
      <w:pPr>
        <w:spacing w:after="160"/>
      </w:pPr>
      <w:r>
        <w:rPr>
          <w:b w:val="false"/>
          <w:bCs w:val="false"/>
          <w:i w:val="false"/>
          <w:iCs w:val="false"/>
        </w:rPr>
        <w:t xml:space="preserve">The following stakeholders (as modelled in the Stakeholder Map view) have been identified and their concerns will be tracked through the programme: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F3864" w:val="clear"/>
            <w:tcMar>
              <w:top w:type="dxa" w:w="80"/>
              <w:left w:type="dxa" w:w="120"/>
              <w:bottom w:type="dxa" w:w="80"/>
              <w:right w:type="dxa" w:w="120"/>
            </w:tcMar>
            <w:vAlign w:val="center"/>
          </w:tcPr>
          <w:p>
            <w:r>
              <w:rPr>
                <w:b/>
                <w:bCs/>
                <w:color w:val="FFFFFF"/>
                <w:sz w:val="20"/>
                <w:szCs w:val="20"/>
              </w:rPr>
              <w:t xml:space="preserve">Stakeholder</w:t>
            </w:r>
          </w:p>
        </w:tc>
        <w:tc>
          <w:tcPr>
            <w:tcW w:type="dxa" w:w="5500"/>
            <w:shd w:fill="1F3864" w:val="clear"/>
            <w:tcMar>
              <w:top w:type="dxa" w:w="80"/>
              <w:left w:type="dxa" w:w="120"/>
              <w:bottom w:type="dxa" w:w="80"/>
              <w:right w:type="dxa" w:w="120"/>
            </w:tcMar>
            <w:vAlign w:val="center"/>
          </w:tcPr>
          <w:p>
            <w:r>
              <w:rPr>
                <w:b/>
                <w:bCs/>
                <w:color w:val="FFFFFF"/>
                <w:sz w:val="20"/>
                <w:szCs w:val="20"/>
              </w:rPr>
              <w:t xml:space="preserve">Concern</w:t>
            </w:r>
          </w:p>
        </w:tc>
      </w:tr>
      <w:tr>
        <w:tc>
          <w:tcPr>
            <w:tcW w:type="dxa" w:w="3500"/>
            <w:tcMar>
              <w:top w:type="dxa" w:w="80"/>
              <w:left w:type="dxa" w:w="120"/>
              <w:bottom w:type="dxa" w:w="80"/>
              <w:right w:type="dxa" w:w="120"/>
            </w:tcMar>
            <w:vAlign w:val="center"/>
          </w:tcPr>
          <w:p>
            <w:r>
              <w:rPr>
                <w:b w:val="false"/>
                <w:bCs w:val="false"/>
                <w:color w:val="000000"/>
                <w:sz w:val="20"/>
                <w:szCs w:val="20"/>
              </w:rPr>
              <w:t xml:space="preserve">CIO</w:t>
            </w:r>
          </w:p>
        </w:tc>
        <w:tc>
          <w:tcPr>
            <w:tcW w:type="dxa" w:w="5500"/>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shd w:fill="F2F2F2" w:val="clear"/>
            <w:tcMar>
              <w:top w:type="dxa" w:w="80"/>
              <w:left w:type="dxa" w:w="120"/>
              <w:bottom w:type="dxa" w:w="80"/>
              <w:right w:type="dxa" w:w="120"/>
            </w:tcMar>
            <w:vAlign w:val="center"/>
          </w:tcPr>
          <w:p>
            <w:r>
              <w:rPr>
                <w:b w:val="false"/>
                <w:bCs w:val="false"/>
                <w:color w:val="000000"/>
                <w:sz w:val="20"/>
                <w:szCs w:val="20"/>
              </w:rPr>
              <w:t xml:space="preserve">CFO</w:t>
            </w:r>
          </w:p>
        </w:tc>
        <w:tc>
          <w:tcPr>
            <w:tcW w:type="dxa" w:w="5500"/>
            <w:shd w:fill="F2F2F2" w:val="clear"/>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tcMar>
              <w:top w:type="dxa" w:w="80"/>
              <w:left w:type="dxa" w:w="120"/>
              <w:bottom w:type="dxa" w:w="80"/>
              <w:right w:type="dxa" w:w="120"/>
            </w:tcMar>
            <w:vAlign w:val="center"/>
          </w:tcPr>
          <w:p>
            <w:r>
              <w:rPr>
                <w:b w:val="false"/>
                <w:bCs w:val="false"/>
                <w:color w:val="000000"/>
                <w:sz w:val="20"/>
                <w:szCs w:val="20"/>
              </w:rPr>
              <w:t xml:space="preserve">COO</w:t>
            </w:r>
          </w:p>
        </w:tc>
        <w:tc>
          <w:tcPr>
            <w:tcW w:type="dxa" w:w="5500"/>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shd w:fill="F2F2F2" w:val="clear"/>
            <w:tcMar>
              <w:top w:type="dxa" w:w="80"/>
              <w:left w:type="dxa" w:w="120"/>
              <w:bottom w:type="dxa" w:w="80"/>
              <w:right w:type="dxa" w:w="120"/>
            </w:tcMar>
            <w:vAlign w:val="center"/>
          </w:tcPr>
          <w:p>
            <w:r>
              <w:rPr>
                <w:b w:val="false"/>
                <w:bCs w:val="false"/>
                <w:color w:val="000000"/>
                <w:sz w:val="20"/>
                <w:szCs w:val="20"/>
              </w:rPr>
              <w:t xml:space="preserve">Chief Enterprise Architect</w:t>
            </w:r>
          </w:p>
        </w:tc>
        <w:tc>
          <w:tcPr>
            <w:tcW w:type="dxa" w:w="5500"/>
            <w:shd w:fill="F2F2F2" w:val="clear"/>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tcMar>
              <w:top w:type="dxa" w:w="80"/>
              <w:left w:type="dxa" w:w="120"/>
              <w:bottom w:type="dxa" w:w="80"/>
              <w:right w:type="dxa" w:w="120"/>
            </w:tcMar>
            <w:vAlign w:val="center"/>
          </w:tcPr>
          <w:p>
            <w:r>
              <w:rPr>
                <w:b w:val="false"/>
                <w:bCs w:val="false"/>
                <w:color w:val="000000"/>
                <w:sz w:val="20"/>
                <w:szCs w:val="20"/>
              </w:rPr>
              <w:t xml:space="preserve">Program Sponsor</w:t>
            </w:r>
          </w:p>
        </w:tc>
        <w:tc>
          <w:tcPr>
            <w:tcW w:type="dxa" w:w="5500"/>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shd w:fill="F2F2F2" w:val="clear"/>
            <w:tcMar>
              <w:top w:type="dxa" w:w="80"/>
              <w:left w:type="dxa" w:w="120"/>
              <w:bottom w:type="dxa" w:w="80"/>
              <w:right w:type="dxa" w:w="120"/>
            </w:tcMar>
            <w:vAlign w:val="center"/>
          </w:tcPr>
          <w:p>
            <w:r>
              <w:rPr>
                <w:b w:val="false"/>
                <w:bCs w:val="false"/>
                <w:color w:val="000000"/>
                <w:sz w:val="20"/>
                <w:szCs w:val="20"/>
              </w:rPr>
              <w:t xml:space="preserve">Business Process Owner - Finance</w:t>
            </w:r>
          </w:p>
        </w:tc>
        <w:tc>
          <w:tcPr>
            <w:tcW w:type="dxa" w:w="5500"/>
            <w:shd w:fill="F2F2F2" w:val="clear"/>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tcMar>
              <w:top w:type="dxa" w:w="80"/>
              <w:left w:type="dxa" w:w="120"/>
              <w:bottom w:type="dxa" w:w="80"/>
              <w:right w:type="dxa" w:w="120"/>
            </w:tcMar>
            <w:vAlign w:val="center"/>
          </w:tcPr>
          <w:p>
            <w:r>
              <w:rPr>
                <w:b w:val="false"/>
                <w:bCs w:val="false"/>
                <w:color w:val="000000"/>
                <w:sz w:val="20"/>
                <w:szCs w:val="20"/>
              </w:rPr>
              <w:t xml:space="preserve">Business Process Owner - Procurement</w:t>
            </w:r>
          </w:p>
        </w:tc>
        <w:tc>
          <w:tcPr>
            <w:tcW w:type="dxa" w:w="5500"/>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shd w:fill="F2F2F2" w:val="clear"/>
            <w:tcMar>
              <w:top w:type="dxa" w:w="80"/>
              <w:left w:type="dxa" w:w="120"/>
              <w:bottom w:type="dxa" w:w="80"/>
              <w:right w:type="dxa" w:w="120"/>
            </w:tcMar>
            <w:vAlign w:val="center"/>
          </w:tcPr>
          <w:p>
            <w:r>
              <w:rPr>
                <w:b w:val="false"/>
                <w:bCs w:val="false"/>
                <w:color w:val="000000"/>
                <w:sz w:val="20"/>
                <w:szCs w:val="20"/>
              </w:rPr>
              <w:t xml:space="preserve">Business Process Owner - HR</w:t>
            </w:r>
          </w:p>
        </w:tc>
        <w:tc>
          <w:tcPr>
            <w:tcW w:type="dxa" w:w="5500"/>
            <w:shd w:fill="F2F2F2" w:val="clear"/>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tcMar>
              <w:top w:type="dxa" w:w="80"/>
              <w:left w:type="dxa" w:w="120"/>
              <w:bottom w:type="dxa" w:w="80"/>
              <w:right w:type="dxa" w:w="120"/>
            </w:tcMar>
            <w:vAlign w:val="center"/>
          </w:tcPr>
          <w:p>
            <w:r>
              <w:rPr>
                <w:b w:val="false"/>
                <w:bCs w:val="false"/>
                <w:color w:val="000000"/>
                <w:sz w:val="20"/>
                <w:szCs w:val="20"/>
              </w:rPr>
              <w:t xml:space="preserve">Business Process Owner - Supply Chain</w:t>
            </w:r>
          </w:p>
        </w:tc>
        <w:tc>
          <w:tcPr>
            <w:tcW w:type="dxa" w:w="5500"/>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shd w:fill="F2F2F2" w:val="clear"/>
            <w:tcMar>
              <w:top w:type="dxa" w:w="80"/>
              <w:left w:type="dxa" w:w="120"/>
              <w:bottom w:type="dxa" w:w="80"/>
              <w:right w:type="dxa" w:w="120"/>
            </w:tcMar>
            <w:vAlign w:val="center"/>
          </w:tcPr>
          <w:p>
            <w:r>
              <w:rPr>
                <w:b w:val="false"/>
                <w:bCs w:val="false"/>
                <w:color w:val="000000"/>
                <w:sz w:val="20"/>
                <w:szCs w:val="20"/>
              </w:rPr>
              <w:t xml:space="preserve">IT Security Officer</w:t>
            </w:r>
          </w:p>
        </w:tc>
        <w:tc>
          <w:tcPr>
            <w:tcW w:type="dxa" w:w="5500"/>
            <w:shd w:fill="F2F2F2" w:val="clear"/>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tcMar>
              <w:top w:type="dxa" w:w="80"/>
              <w:left w:type="dxa" w:w="120"/>
              <w:bottom w:type="dxa" w:w="80"/>
              <w:right w:type="dxa" w:w="120"/>
            </w:tcMar>
            <w:vAlign w:val="center"/>
          </w:tcPr>
          <w:p>
            <w:r>
              <w:rPr>
                <w:b w:val="false"/>
                <w:bCs w:val="false"/>
                <w:color w:val="000000"/>
                <w:sz w:val="20"/>
                <w:szCs w:val="20"/>
              </w:rPr>
              <w:t xml:space="preserve">Data Protection Officer</w:t>
            </w:r>
          </w:p>
        </w:tc>
        <w:tc>
          <w:tcPr>
            <w:tcW w:type="dxa" w:w="5500"/>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shd w:fill="F2F2F2" w:val="clear"/>
            <w:tcMar>
              <w:top w:type="dxa" w:w="80"/>
              <w:left w:type="dxa" w:w="120"/>
              <w:bottom w:type="dxa" w:w="80"/>
              <w:right w:type="dxa" w:w="120"/>
            </w:tcMar>
            <w:vAlign w:val="center"/>
          </w:tcPr>
          <w:p>
            <w:r>
              <w:rPr>
                <w:b w:val="false"/>
                <w:bCs w:val="false"/>
                <w:color w:val="000000"/>
                <w:sz w:val="20"/>
                <w:szCs w:val="20"/>
              </w:rPr>
              <w:t xml:space="preserve">SAP Basis Team Lead</w:t>
            </w:r>
          </w:p>
        </w:tc>
        <w:tc>
          <w:tcPr>
            <w:tcW w:type="dxa" w:w="5500"/>
            <w:shd w:fill="F2F2F2" w:val="clear"/>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tcMar>
              <w:top w:type="dxa" w:w="80"/>
              <w:left w:type="dxa" w:w="120"/>
              <w:bottom w:type="dxa" w:w="80"/>
              <w:right w:type="dxa" w:w="120"/>
            </w:tcMar>
            <w:vAlign w:val="center"/>
          </w:tcPr>
          <w:p>
            <w:r>
              <w:rPr>
                <w:b w:val="false"/>
                <w:bCs w:val="false"/>
                <w:color w:val="000000"/>
                <w:sz w:val="20"/>
                <w:szCs w:val="20"/>
              </w:rPr>
              <w:t xml:space="preserve">Integration Architect</w:t>
            </w:r>
          </w:p>
        </w:tc>
        <w:tc>
          <w:tcPr>
            <w:tcW w:type="dxa" w:w="5500"/>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shd w:fill="F2F2F2" w:val="clear"/>
            <w:tcMar>
              <w:top w:type="dxa" w:w="80"/>
              <w:left w:type="dxa" w:w="120"/>
              <w:bottom w:type="dxa" w:w="80"/>
              <w:right w:type="dxa" w:w="120"/>
            </w:tcMar>
            <w:vAlign w:val="center"/>
          </w:tcPr>
          <w:p>
            <w:r>
              <w:rPr>
                <w:b w:val="false"/>
                <w:bCs w:val="false"/>
                <w:color w:val="000000"/>
                <w:sz w:val="20"/>
                <w:szCs w:val="20"/>
              </w:rPr>
              <w:t xml:space="preserve">Change Management Lead</w:t>
            </w:r>
          </w:p>
        </w:tc>
        <w:tc>
          <w:tcPr>
            <w:tcW w:type="dxa" w:w="5500"/>
            <w:shd w:fill="F2F2F2" w:val="clear"/>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tcMar>
              <w:top w:type="dxa" w:w="80"/>
              <w:left w:type="dxa" w:w="120"/>
              <w:bottom w:type="dxa" w:w="80"/>
              <w:right w:type="dxa" w:w="120"/>
            </w:tcMar>
            <w:vAlign w:val="center"/>
          </w:tcPr>
          <w:p>
            <w:r>
              <w:rPr>
                <w:b w:val="false"/>
                <w:bCs w:val="false"/>
                <w:color w:val="000000"/>
                <w:sz w:val="20"/>
                <w:szCs w:val="20"/>
              </w:rPr>
              <w:t xml:space="preserve">Solution Architect - S/4HANA</w:t>
            </w:r>
          </w:p>
        </w:tc>
        <w:tc>
          <w:tcPr>
            <w:tcW w:type="dxa" w:w="5500"/>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shd w:fill="F2F2F2" w:val="clear"/>
            <w:tcMar>
              <w:top w:type="dxa" w:w="80"/>
              <w:left w:type="dxa" w:w="120"/>
              <w:bottom w:type="dxa" w:w="80"/>
              <w:right w:type="dxa" w:w="120"/>
            </w:tcMar>
            <w:vAlign w:val="center"/>
          </w:tcPr>
          <w:p>
            <w:r>
              <w:rPr>
                <w:b w:val="false"/>
                <w:bCs w:val="false"/>
                <w:color w:val="000000"/>
                <w:sz w:val="20"/>
                <w:szCs w:val="20"/>
              </w:rPr>
              <w:t xml:space="preserve">Solution Architect - BTP</w:t>
            </w:r>
          </w:p>
        </w:tc>
        <w:tc>
          <w:tcPr>
            <w:tcW w:type="dxa" w:w="5500"/>
            <w:shd w:fill="F2F2F2" w:val="clear"/>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tcMar>
              <w:top w:type="dxa" w:w="80"/>
              <w:left w:type="dxa" w:w="120"/>
              <w:bottom w:type="dxa" w:w="80"/>
              <w:right w:type="dxa" w:w="120"/>
            </w:tcMar>
            <w:vAlign w:val="center"/>
          </w:tcPr>
          <w:p>
            <w:r>
              <w:rPr>
                <w:b w:val="false"/>
                <w:bCs w:val="false"/>
                <w:color w:val="000000"/>
                <w:sz w:val="20"/>
                <w:szCs w:val="20"/>
              </w:rPr>
              <w:t xml:space="preserve">External SI Partner</w:t>
            </w:r>
          </w:p>
        </w:tc>
        <w:tc>
          <w:tcPr>
            <w:tcW w:type="dxa" w:w="5500"/>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shd w:fill="F2F2F2" w:val="clear"/>
            <w:tcMar>
              <w:top w:type="dxa" w:w="80"/>
              <w:left w:type="dxa" w:w="120"/>
              <w:bottom w:type="dxa" w:w="80"/>
              <w:right w:type="dxa" w:w="120"/>
            </w:tcMar>
            <w:vAlign w:val="center"/>
          </w:tcPr>
          <w:p>
            <w:r>
              <w:rPr>
                <w:b w:val="false"/>
                <w:bCs w:val="false"/>
                <w:color w:val="000000"/>
                <w:sz w:val="20"/>
                <w:szCs w:val="20"/>
              </w:rPr>
              <w:t xml:space="preserve">SAP Account Executive</w:t>
            </w:r>
          </w:p>
        </w:tc>
        <w:tc>
          <w:tcPr>
            <w:tcW w:type="dxa" w:w="5500"/>
            <w:shd w:fill="F2F2F2" w:val="clear"/>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tcMar>
              <w:top w:type="dxa" w:w="80"/>
              <w:left w:type="dxa" w:w="120"/>
              <w:bottom w:type="dxa" w:w="80"/>
              <w:right w:type="dxa" w:w="120"/>
            </w:tcMar>
            <w:vAlign w:val="center"/>
          </w:tcPr>
          <w:p>
            <w:r>
              <w:rPr>
                <w:b w:val="false"/>
                <w:bCs w:val="false"/>
                <w:color w:val="000000"/>
                <w:sz w:val="20"/>
                <w:szCs w:val="20"/>
              </w:rPr>
              <w:t xml:space="preserve">Internal Audit</w:t>
            </w:r>
          </w:p>
        </w:tc>
        <w:tc>
          <w:tcPr>
            <w:tcW w:type="dxa" w:w="5500"/>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r>
        <w:tc>
          <w:tcPr>
            <w:tcW w:type="dxa" w:w="3500"/>
            <w:shd w:fill="F2F2F2" w:val="clear"/>
            <w:tcMar>
              <w:top w:type="dxa" w:w="80"/>
              <w:left w:type="dxa" w:w="120"/>
              <w:bottom w:type="dxa" w:w="80"/>
              <w:right w:type="dxa" w:w="120"/>
            </w:tcMar>
            <w:vAlign w:val="center"/>
          </w:tcPr>
          <w:p>
            <w:r>
              <w:rPr>
                <w:b w:val="false"/>
                <w:bCs w:val="false"/>
                <w:color w:val="000000"/>
                <w:sz w:val="20"/>
                <w:szCs w:val="20"/>
              </w:rPr>
              <w:t xml:space="preserve">Works Council Representative</w:t>
            </w:r>
          </w:p>
        </w:tc>
        <w:tc>
          <w:tcPr>
            <w:tcW w:type="dxa" w:w="5500"/>
            <w:shd w:fill="F2F2F2" w:val="clear"/>
            <w:tcMar>
              <w:top w:type="dxa" w:w="80"/>
              <w:left w:type="dxa" w:w="120"/>
              <w:bottom w:type="dxa" w:w="80"/>
              <w:right w:type="dxa" w:w="120"/>
            </w:tcMar>
            <w:vAlign w:val="center"/>
          </w:tcPr>
          <w:p>
            <w:r>
              <w:rPr>
                <w:b w:val="false"/>
                <w:bCs w:val="false"/>
                <w:color w:val="000000"/>
                <w:sz w:val="20"/>
                <w:szCs w:val="20"/>
              </w:rPr>
              <w:t xml:space="preserve">Programme outcomes, risk, and value realization relevant to their role</w:t>
            </w:r>
          </w:p>
        </w:tc>
      </w:tr>
    </w:tbl>
    <w:p>
      <w:pPr>
        <w:spacing w:after="200"/>
      </w:pPr>
    </w:p>
    <w:p>
      <w:pPr>
        <w:pStyle w:val="Heading1"/>
        <w:spacing w:after="160" w:before="360"/>
      </w:pPr>
      <w:r>
        <w:rPr>
          <w:color w:val="1F3864"/>
        </w:rPr>
        <w:t xml:space="preserve">4. Drivers</w:t>
      </w:r>
    </w:p>
    <w:p>
      <w:pPr>
        <w:pStyle w:val="ListParagraph"/>
        <w:numPr>
          <w:ilvl w:val="0"/>
          <w:numId w:val="2"/>
        </w:numPr>
        <w:spacing w:after="80"/>
      </w:pPr>
      <w:r>
        <w:t xml:space="preserve">Reduce Total Cost of Ownership</w:t>
      </w:r>
    </w:p>
    <w:p>
      <w:pPr>
        <w:pStyle w:val="ListParagraph"/>
        <w:numPr>
          <w:ilvl w:val="0"/>
          <w:numId w:val="2"/>
        </w:numPr>
        <w:spacing w:after="80"/>
      </w:pPr>
      <w:r>
        <w:t xml:space="preserve">Increase Business Agility</w:t>
      </w:r>
    </w:p>
    <w:p>
      <w:pPr>
        <w:pStyle w:val="ListParagraph"/>
        <w:numPr>
          <w:ilvl w:val="0"/>
          <w:numId w:val="2"/>
        </w:numPr>
        <w:spacing w:after="80"/>
      </w:pPr>
      <w:r>
        <w:t xml:space="preserve">Ensure Regulatory Compliance</w:t>
      </w:r>
    </w:p>
    <w:p>
      <w:pPr>
        <w:pStyle w:val="ListParagraph"/>
        <w:numPr>
          <w:ilvl w:val="0"/>
          <w:numId w:val="2"/>
        </w:numPr>
        <w:spacing w:after="80"/>
      </w:pPr>
      <w:r>
        <w:t xml:space="preserve">Improve Data Quality</w:t>
      </w:r>
    </w:p>
    <w:p>
      <w:pPr>
        <w:pStyle w:val="ListParagraph"/>
        <w:numPr>
          <w:ilvl w:val="0"/>
          <w:numId w:val="2"/>
        </w:numPr>
        <w:spacing w:after="80"/>
      </w:pPr>
      <w:r>
        <w:t xml:space="preserve">Enable Continuous Innovation</w:t>
      </w:r>
    </w:p>
    <w:p>
      <w:pPr>
        <w:pStyle w:val="ListParagraph"/>
        <w:numPr>
          <w:ilvl w:val="0"/>
          <w:numId w:val="2"/>
        </w:numPr>
        <w:spacing w:after="80"/>
      </w:pPr>
      <w:r>
        <w:t xml:space="preserve">Support Sustainability Reporting</w:t>
      </w:r>
    </w:p>
    <w:p>
      <w:pPr>
        <w:pStyle w:val="Heading1"/>
        <w:spacing w:after="160" w:before="360"/>
      </w:pPr>
      <w:r>
        <w:rPr>
          <w:color w:val="1F3864"/>
        </w:rPr>
        <w:t xml:space="preserve">5. Goals</w:t>
      </w:r>
    </w:p>
    <w:p>
      <w:pPr>
        <w:spacing w:after="160"/>
      </w:pPr>
      <w:r>
        <w:rPr>
          <w:b w:val="false"/>
          <w:bCs w:val="false"/>
          <w:i w:val="false"/>
          <w:iCs w:val="false"/>
        </w:rPr>
        <w:t xml:space="preserve">The following architecture goals have been defined and are realized by one or more capabilities in the Strategy layer of the repository:</w:t>
      </w:r>
    </w:p>
    <w:p>
      <w:pPr>
        <w:pStyle w:val="ListParagraph"/>
        <w:numPr>
          <w:ilvl w:val="0"/>
          <w:numId w:val="2"/>
        </w:numPr>
        <w:spacing w:after="80"/>
      </w:pPr>
      <w:r>
        <w:t xml:space="preserve">Migrate to SAP S/4HANA Cloud by Target Date</w:t>
      </w:r>
    </w:p>
    <w:p>
      <w:pPr>
        <w:pStyle w:val="ListParagraph"/>
        <w:numPr>
          <w:ilvl w:val="0"/>
          <w:numId w:val="2"/>
        </w:numPr>
        <w:spacing w:after="80"/>
      </w:pPr>
      <w:r>
        <w:t xml:space="preserve">Decommission Legacy ERP Landscape</w:t>
      </w:r>
    </w:p>
    <w:p>
      <w:pPr>
        <w:pStyle w:val="ListParagraph"/>
        <w:numPr>
          <w:ilvl w:val="0"/>
          <w:numId w:val="2"/>
        </w:numPr>
        <w:spacing w:after="80"/>
      </w:pPr>
      <w:r>
        <w:t xml:space="preserve">Achieve Clean Core Compliance</w:t>
      </w:r>
    </w:p>
    <w:p>
      <w:pPr>
        <w:pStyle w:val="ListParagraph"/>
        <w:numPr>
          <w:ilvl w:val="0"/>
          <w:numId w:val="2"/>
        </w:numPr>
        <w:spacing w:after="80"/>
      </w:pPr>
      <w:r>
        <w:t xml:space="preserve">Reduce Custom Code Footprint by 50%</w:t>
      </w:r>
    </w:p>
    <w:p>
      <w:pPr>
        <w:pStyle w:val="ListParagraph"/>
        <w:numPr>
          <w:ilvl w:val="0"/>
          <w:numId w:val="2"/>
        </w:numPr>
        <w:spacing w:after="80"/>
      </w:pPr>
      <w:r>
        <w:t xml:space="preserve">Standardize Global Business Processes</w:t>
      </w:r>
    </w:p>
    <w:p>
      <w:pPr>
        <w:pStyle w:val="ListParagraph"/>
        <w:numPr>
          <w:ilvl w:val="0"/>
          <w:numId w:val="2"/>
        </w:numPr>
        <w:spacing w:after="80"/>
      </w:pPr>
      <w:r>
        <w:t xml:space="preserve">Improve System Availability to 99.9%</w:t>
      </w:r>
    </w:p>
    <w:p>
      <w:pPr>
        <w:pStyle w:val="ListParagraph"/>
        <w:numPr>
          <w:ilvl w:val="0"/>
          <w:numId w:val="2"/>
        </w:numPr>
        <w:spacing w:after="80"/>
      </w:pPr>
      <w:r>
        <w:t xml:space="preserve">Reduce Integration Lead Time</w:t>
      </w:r>
    </w:p>
    <w:p>
      <w:pPr>
        <w:pStyle w:val="ListParagraph"/>
        <w:numPr>
          <w:ilvl w:val="0"/>
          <w:numId w:val="2"/>
        </w:numPr>
        <w:spacing w:after="80"/>
      </w:pPr>
      <w:r>
        <w:t xml:space="preserve">Enable Self-Service Analytics</w:t>
      </w:r>
    </w:p>
    <w:p>
      <w:pPr>
        <w:pStyle w:val="ListParagraph"/>
        <w:numPr>
          <w:ilvl w:val="0"/>
          <w:numId w:val="2"/>
        </w:numPr>
        <w:spacing w:after="80"/>
      </w:pPr>
      <w:r>
        <w:t xml:space="preserve">Achieve Single Source of Master Data</w:t>
      </w:r>
    </w:p>
    <w:p>
      <w:pPr>
        <w:pStyle w:val="ListParagraph"/>
        <w:numPr>
          <w:ilvl w:val="0"/>
          <w:numId w:val="2"/>
        </w:numPr>
        <w:spacing w:after="80"/>
      </w:pPr>
      <w:r>
        <w:t xml:space="preserve">Reduce Carbon Footprint of IT Estate</w:t>
      </w:r>
    </w:p>
    <w:p>
      <w:pPr>
        <w:pStyle w:val="Heading1"/>
        <w:spacing w:after="160" w:before="360"/>
      </w:pPr>
      <w:r>
        <w:rPr>
          <w:color w:val="1F3864"/>
        </w:rPr>
        <w:t xml:space="preserve">6. Desired Outcomes</w:t>
      </w:r>
    </w:p>
    <w:p>
      <w:pPr>
        <w:pStyle w:val="ListParagraph"/>
        <w:numPr>
          <w:ilvl w:val="0"/>
          <w:numId w:val="2"/>
        </w:numPr>
        <w:spacing w:after="80"/>
      </w:pPr>
      <w:r>
        <w:t xml:space="preserve">Lower Run Cost per Transaction</w:t>
      </w:r>
    </w:p>
    <w:p>
      <w:pPr>
        <w:pStyle w:val="ListParagraph"/>
        <w:numPr>
          <w:ilvl w:val="0"/>
          <w:numId w:val="2"/>
        </w:numPr>
        <w:spacing w:after="80"/>
      </w:pPr>
      <w:r>
        <w:t xml:space="preserve">Faster Financial Close Cycle</w:t>
      </w:r>
    </w:p>
    <w:p>
      <w:pPr>
        <w:pStyle w:val="ListParagraph"/>
        <w:numPr>
          <w:ilvl w:val="0"/>
          <w:numId w:val="2"/>
        </w:numPr>
        <w:spacing w:after="80"/>
      </w:pPr>
      <w:r>
        <w:t xml:space="preserve">Higher Employee Self-Service Adoption</w:t>
      </w:r>
    </w:p>
    <w:p>
      <w:pPr>
        <w:pStyle w:val="ListParagraph"/>
        <w:numPr>
          <w:ilvl w:val="0"/>
          <w:numId w:val="2"/>
        </w:numPr>
        <w:spacing w:after="80"/>
      </w:pPr>
      <w:r>
        <w:t xml:space="preserve">Reduced Number of Critical Incidents</w:t>
      </w:r>
    </w:p>
    <w:p>
      <w:pPr>
        <w:pStyle w:val="ListParagraph"/>
        <w:numPr>
          <w:ilvl w:val="0"/>
          <w:numId w:val="2"/>
        </w:numPr>
        <w:spacing w:after="80"/>
      </w:pPr>
      <w:r>
        <w:t xml:space="preserve">Improved Forecast Accuracy</w:t>
      </w:r>
    </w:p>
    <w:p>
      <w:pPr>
        <w:pStyle w:val="ListParagraph"/>
        <w:numPr>
          <w:ilvl w:val="0"/>
          <w:numId w:val="2"/>
        </w:numPr>
        <w:spacing w:after="80"/>
      </w:pPr>
      <w:r>
        <w:t xml:space="preserve">Reduced Audit Findings</w:t>
      </w:r>
    </w:p>
    <w:p>
      <w:pPr>
        <w:pStyle w:val="Heading1"/>
        <w:spacing w:after="160" w:before="360"/>
      </w:pPr>
      <w:r>
        <w:rPr>
          <w:color w:val="1F3864"/>
        </w:rPr>
        <w:t xml:space="preserve">7. Value Streams in Scope</w:t>
      </w:r>
    </w:p>
    <w:p>
      <w:pPr>
        <w:spacing w:after="160"/>
      </w:pPr>
      <w:r>
        <w:rPr>
          <w:b w:val="false"/>
          <w:bCs w:val="false"/>
          <w:i w:val="false"/>
          <w:iCs w:val="false"/>
        </w:rPr>
        <w:t xml:space="preserve">The transformation is organized around the following end-to-end value streams, each aggregating a set of capabilities:</w:t>
      </w:r>
    </w:p>
    <w:p>
      <w:pPr>
        <w:pStyle w:val="ListParagraph"/>
        <w:numPr>
          <w:ilvl w:val="0"/>
          <w:numId w:val="2"/>
        </w:numPr>
        <w:spacing w:after="80"/>
      </w:pPr>
      <w:r>
        <w:t xml:space="preserve">Lead-to-Cash Value Stream</w:t>
      </w:r>
    </w:p>
    <w:p>
      <w:pPr>
        <w:pStyle w:val="ListParagraph"/>
        <w:numPr>
          <w:ilvl w:val="0"/>
          <w:numId w:val="2"/>
        </w:numPr>
        <w:spacing w:after="80"/>
      </w:pPr>
      <w:r>
        <w:t xml:space="preserve">Source-to-Pay Value Stream</w:t>
      </w:r>
    </w:p>
    <w:p>
      <w:pPr>
        <w:pStyle w:val="ListParagraph"/>
        <w:numPr>
          <w:ilvl w:val="0"/>
          <w:numId w:val="2"/>
        </w:numPr>
        <w:spacing w:after="80"/>
      </w:pPr>
      <w:r>
        <w:t xml:space="preserve">Hire-to-Retire Value Stream</w:t>
      </w:r>
    </w:p>
    <w:p>
      <w:pPr>
        <w:pStyle w:val="ListParagraph"/>
        <w:numPr>
          <w:ilvl w:val="0"/>
          <w:numId w:val="2"/>
        </w:numPr>
        <w:spacing w:after="80"/>
      </w:pPr>
      <w:r>
        <w:t xml:space="preserve">Plan-to-Fulfil Value Stream</w:t>
      </w:r>
    </w:p>
    <w:p>
      <w:pPr>
        <w:pStyle w:val="ListParagraph"/>
        <w:numPr>
          <w:ilvl w:val="0"/>
          <w:numId w:val="2"/>
        </w:numPr>
        <w:spacing w:after="80"/>
      </w:pPr>
      <w:r>
        <w:t xml:space="preserve">Idea-to-Market Value Stream</w:t>
      </w:r>
    </w:p>
    <w:p>
      <w:pPr>
        <w:pStyle w:val="ListParagraph"/>
        <w:numPr>
          <w:ilvl w:val="0"/>
          <w:numId w:val="2"/>
        </w:numPr>
        <w:spacing w:after="80"/>
      </w:pPr>
      <w:r>
        <w:t xml:space="preserve">Record-to-Report Value Stream</w:t>
      </w:r>
    </w:p>
    <w:p>
      <w:pPr>
        <w:pStyle w:val="Heading1"/>
        <w:spacing w:after="160" w:before="360"/>
      </w:pPr>
      <w:r>
        <w:rPr>
          <w:color w:val="1F3864"/>
        </w:rPr>
        <w:t xml:space="preserve">8. Capability Assessment (Summary)</w:t>
      </w:r>
    </w:p>
    <w:p>
      <w:pPr>
        <w:spacing w:after="160"/>
      </w:pPr>
      <w:r>
        <w:rPr>
          <w:b w:val="false"/>
          <w:bCs w:val="false"/>
          <w:i w:val="false"/>
          <w:iCs w:val="false"/>
        </w:rPr>
        <w:t xml:space="preserve">All 30 business capabilities in scope have been assessed for maturity and recorded against a Low / Medium / High scale in the Capability Map view of the SAP Enterprise Repository, which also serves as the capability heatmap for this Architecture Vision. Capabilities assessed as Low maturity are prioritized for the early transition plateaus.</w:t>
      </w:r>
    </w:p>
    <w:p>
      <w:pPr>
        <w:pStyle w:val="Heading3"/>
        <w:spacing w:after="100" w:before="200"/>
      </w:pPr>
      <w:r>
        <w:t xml:space="preserve">In-scope capabilities (Strategy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rPr>
          <w:tblHeader/>
        </w:trPr>
        <w:tc>
          <w:tcPr>
            <w:tcW w:type="dxa" w:w="800"/>
            <w:shd w:fill="1F3864" w:val="clear"/>
            <w:tcMar>
              <w:top w:type="dxa" w:w="80"/>
              <w:left w:type="dxa" w:w="120"/>
              <w:bottom w:type="dxa" w:w="80"/>
              <w:right w:type="dxa" w:w="120"/>
            </w:tcMar>
            <w:vAlign w:val="center"/>
          </w:tcPr>
          <w:p>
            <w:r>
              <w:rPr>
                <w:b/>
                <w:bCs/>
                <w:color w:val="FFFFFF"/>
                <w:sz w:val="20"/>
                <w:szCs w:val="20"/>
              </w:rPr>
              <w:t xml:space="preserve">#</w:t>
            </w:r>
          </w:p>
        </w:tc>
        <w:tc>
          <w:tcPr>
            <w:tcW w:type="dxa" w:w="8200"/>
            <w:shd w:fill="1F3864" w:val="clear"/>
            <w:tcMar>
              <w:top w:type="dxa" w:w="80"/>
              <w:left w:type="dxa" w:w="120"/>
              <w:bottom w:type="dxa" w:w="80"/>
              <w:right w:type="dxa" w:w="120"/>
            </w:tcMar>
            <w:vAlign w:val="center"/>
          </w:tcPr>
          <w:p>
            <w:r>
              <w:rPr>
                <w:b/>
                <w:bCs/>
                <w:color w:val="FFFFFF"/>
                <w:sz w:val="20"/>
                <w:szCs w:val="20"/>
              </w:rPr>
              <w:t xml:space="preserve">Capability</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w:t>
            </w:r>
          </w:p>
        </w:tc>
        <w:tc>
          <w:tcPr>
            <w:tcW w:type="dxa" w:w="8200"/>
            <w:tcMar>
              <w:top w:type="dxa" w:w="80"/>
              <w:left w:type="dxa" w:w="120"/>
              <w:bottom w:type="dxa" w:w="80"/>
              <w:right w:type="dxa" w:w="120"/>
            </w:tcMar>
            <w:vAlign w:val="center"/>
          </w:tcPr>
          <w:p>
            <w:r>
              <w:rPr>
                <w:b w:val="false"/>
                <w:bCs w:val="false"/>
                <w:color w:val="000000"/>
                <w:sz w:val="20"/>
                <w:szCs w:val="20"/>
              </w:rPr>
              <w:t xml:space="preserve">Order-to-Cash</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2</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Procure-to-Pay</w:t>
            </w:r>
          </w:p>
        </w:tc>
      </w:tr>
      <w:tr>
        <w:tc>
          <w:tcPr>
            <w:tcW w:type="dxa" w:w="800"/>
            <w:tcMar>
              <w:top w:type="dxa" w:w="80"/>
              <w:left w:type="dxa" w:w="120"/>
              <w:bottom w:type="dxa" w:w="80"/>
              <w:right w:type="dxa" w:w="120"/>
            </w:tcMar>
            <w:vAlign w:val="center"/>
          </w:tcPr>
          <w:p>
            <w:r>
              <w:rPr>
                <w:b w:val="false"/>
                <w:bCs w:val="false"/>
                <w:color w:val="000000"/>
                <w:sz w:val="20"/>
                <w:szCs w:val="20"/>
              </w:rPr>
              <w:t xml:space="preserve">3</w:t>
            </w:r>
          </w:p>
        </w:tc>
        <w:tc>
          <w:tcPr>
            <w:tcW w:type="dxa" w:w="8200"/>
            <w:tcMar>
              <w:top w:type="dxa" w:w="80"/>
              <w:left w:type="dxa" w:w="120"/>
              <w:bottom w:type="dxa" w:w="80"/>
              <w:right w:type="dxa" w:w="120"/>
            </w:tcMar>
            <w:vAlign w:val="center"/>
          </w:tcPr>
          <w:p>
            <w:r>
              <w:rPr>
                <w:b w:val="false"/>
                <w:bCs w:val="false"/>
                <w:color w:val="000000"/>
                <w:sz w:val="20"/>
                <w:szCs w:val="20"/>
              </w:rPr>
              <w:t xml:space="preserve">Record-to-Report</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4</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Hire-to-Retire</w:t>
            </w:r>
          </w:p>
        </w:tc>
      </w:tr>
      <w:tr>
        <w:tc>
          <w:tcPr>
            <w:tcW w:type="dxa" w:w="800"/>
            <w:tcMar>
              <w:top w:type="dxa" w:w="80"/>
              <w:left w:type="dxa" w:w="120"/>
              <w:bottom w:type="dxa" w:w="80"/>
              <w:right w:type="dxa" w:w="120"/>
            </w:tcMar>
            <w:vAlign w:val="center"/>
          </w:tcPr>
          <w:p>
            <w:r>
              <w:rPr>
                <w:b w:val="false"/>
                <w:bCs w:val="false"/>
                <w:color w:val="000000"/>
                <w:sz w:val="20"/>
                <w:szCs w:val="20"/>
              </w:rPr>
              <w:t xml:space="preserve">5</w:t>
            </w:r>
          </w:p>
        </w:tc>
        <w:tc>
          <w:tcPr>
            <w:tcW w:type="dxa" w:w="8200"/>
            <w:tcMar>
              <w:top w:type="dxa" w:w="80"/>
              <w:left w:type="dxa" w:w="120"/>
              <w:bottom w:type="dxa" w:w="80"/>
              <w:right w:type="dxa" w:w="120"/>
            </w:tcMar>
            <w:vAlign w:val="center"/>
          </w:tcPr>
          <w:p>
            <w:r>
              <w:rPr>
                <w:b w:val="false"/>
                <w:bCs w:val="false"/>
                <w:color w:val="000000"/>
                <w:sz w:val="20"/>
                <w:szCs w:val="20"/>
              </w:rPr>
              <w:t xml:space="preserve">Plan-to-Produce</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6</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Forecast-to-Plan</w:t>
            </w:r>
          </w:p>
        </w:tc>
      </w:tr>
      <w:tr>
        <w:tc>
          <w:tcPr>
            <w:tcW w:type="dxa" w:w="800"/>
            <w:tcMar>
              <w:top w:type="dxa" w:w="80"/>
              <w:left w:type="dxa" w:w="120"/>
              <w:bottom w:type="dxa" w:w="80"/>
              <w:right w:type="dxa" w:w="120"/>
            </w:tcMar>
            <w:vAlign w:val="center"/>
          </w:tcPr>
          <w:p>
            <w:r>
              <w:rPr>
                <w:b w:val="false"/>
                <w:bCs w:val="false"/>
                <w:color w:val="000000"/>
                <w:sz w:val="20"/>
                <w:szCs w:val="20"/>
              </w:rPr>
              <w:t xml:space="preserve">7</w:t>
            </w:r>
          </w:p>
        </w:tc>
        <w:tc>
          <w:tcPr>
            <w:tcW w:type="dxa" w:w="8200"/>
            <w:tcMar>
              <w:top w:type="dxa" w:w="80"/>
              <w:left w:type="dxa" w:w="120"/>
              <w:bottom w:type="dxa" w:w="80"/>
              <w:right w:type="dxa" w:w="120"/>
            </w:tcMar>
            <w:vAlign w:val="center"/>
          </w:tcPr>
          <w:p>
            <w:r>
              <w:rPr>
                <w:b w:val="false"/>
                <w:bCs w:val="false"/>
                <w:color w:val="000000"/>
                <w:sz w:val="20"/>
                <w:szCs w:val="20"/>
              </w:rPr>
              <w:t xml:space="preserve">Source-to-Contract</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8</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Inventory Management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9</w:t>
            </w:r>
          </w:p>
        </w:tc>
        <w:tc>
          <w:tcPr>
            <w:tcW w:type="dxa" w:w="8200"/>
            <w:tcMar>
              <w:top w:type="dxa" w:w="80"/>
              <w:left w:type="dxa" w:w="120"/>
              <w:bottom w:type="dxa" w:w="80"/>
              <w:right w:type="dxa" w:w="120"/>
            </w:tcMar>
            <w:vAlign w:val="center"/>
          </w:tcPr>
          <w:p>
            <w:r>
              <w:rPr>
                <w:b w:val="false"/>
                <w:bCs w:val="false"/>
                <w:color w:val="000000"/>
                <w:sz w:val="20"/>
                <w:szCs w:val="20"/>
              </w:rPr>
              <w:t xml:space="preserve">Warehouse Management</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10</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Transportation Management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11</w:t>
            </w:r>
          </w:p>
        </w:tc>
        <w:tc>
          <w:tcPr>
            <w:tcW w:type="dxa" w:w="8200"/>
            <w:tcMar>
              <w:top w:type="dxa" w:w="80"/>
              <w:left w:type="dxa" w:w="120"/>
              <w:bottom w:type="dxa" w:w="80"/>
              <w:right w:type="dxa" w:w="120"/>
            </w:tcMar>
            <w:vAlign w:val="center"/>
          </w:tcPr>
          <w:p>
            <w:r>
              <w:rPr>
                <w:b w:val="false"/>
                <w:bCs w:val="false"/>
                <w:color w:val="000000"/>
                <w:sz w:val="20"/>
                <w:szCs w:val="20"/>
              </w:rPr>
              <w:t xml:space="preserve">Customer Master Data Management</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12</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Vendor Master Data Management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13</w:t>
            </w:r>
          </w:p>
        </w:tc>
        <w:tc>
          <w:tcPr>
            <w:tcW w:type="dxa" w:w="8200"/>
            <w:tcMar>
              <w:top w:type="dxa" w:w="80"/>
              <w:left w:type="dxa" w:w="120"/>
              <w:bottom w:type="dxa" w:w="80"/>
              <w:right w:type="dxa" w:w="120"/>
            </w:tcMar>
            <w:vAlign w:val="center"/>
          </w:tcPr>
          <w:p>
            <w:r>
              <w:rPr>
                <w:b w:val="false"/>
                <w:bCs w:val="false"/>
                <w:color w:val="000000"/>
                <w:sz w:val="20"/>
                <w:szCs w:val="20"/>
              </w:rPr>
              <w:t xml:space="preserve">Financial Planning &amp; Analysis</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14</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Treasury Management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15</w:t>
            </w:r>
          </w:p>
        </w:tc>
        <w:tc>
          <w:tcPr>
            <w:tcW w:type="dxa" w:w="8200"/>
            <w:tcMar>
              <w:top w:type="dxa" w:w="80"/>
              <w:left w:type="dxa" w:w="120"/>
              <w:bottom w:type="dxa" w:w="80"/>
              <w:right w:type="dxa" w:w="120"/>
            </w:tcMar>
            <w:vAlign w:val="center"/>
          </w:tcPr>
          <w:p>
            <w:r>
              <w:rPr>
                <w:b w:val="false"/>
                <w:bCs w:val="false"/>
                <w:color w:val="000000"/>
                <w:sz w:val="20"/>
                <w:szCs w:val="20"/>
              </w:rPr>
              <w:t xml:space="preserve">Credit &amp; Collections Management</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16</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Product Lifecycle Management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17</w:t>
            </w:r>
          </w:p>
        </w:tc>
        <w:tc>
          <w:tcPr>
            <w:tcW w:type="dxa" w:w="8200"/>
            <w:tcMar>
              <w:top w:type="dxa" w:w="80"/>
              <w:left w:type="dxa" w:w="120"/>
              <w:bottom w:type="dxa" w:w="80"/>
              <w:right w:type="dxa" w:w="120"/>
            </w:tcMar>
            <w:vAlign w:val="center"/>
          </w:tcPr>
          <w:p>
            <w:r>
              <w:rPr>
                <w:b w:val="false"/>
                <w:bCs w:val="false"/>
                <w:color w:val="000000"/>
                <w:sz w:val="20"/>
                <w:szCs w:val="20"/>
              </w:rPr>
              <w:t xml:space="preserve">Quality Management</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18</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Asset Management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19</w:t>
            </w:r>
          </w:p>
        </w:tc>
        <w:tc>
          <w:tcPr>
            <w:tcW w:type="dxa" w:w="8200"/>
            <w:tcMar>
              <w:top w:type="dxa" w:w="80"/>
              <w:left w:type="dxa" w:w="120"/>
              <w:bottom w:type="dxa" w:w="80"/>
              <w:right w:type="dxa" w:w="120"/>
            </w:tcMar>
            <w:vAlign w:val="center"/>
          </w:tcPr>
          <w:p>
            <w:r>
              <w:rPr>
                <w:b w:val="false"/>
                <w:bCs w:val="false"/>
                <w:color w:val="000000"/>
                <w:sz w:val="20"/>
                <w:szCs w:val="20"/>
              </w:rPr>
              <w:t xml:space="preserve">Project Management</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20</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Contract Management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21</w:t>
            </w:r>
          </w:p>
        </w:tc>
        <w:tc>
          <w:tcPr>
            <w:tcW w:type="dxa" w:w="8200"/>
            <w:tcMar>
              <w:top w:type="dxa" w:w="80"/>
              <w:left w:type="dxa" w:w="120"/>
              <w:bottom w:type="dxa" w:w="80"/>
              <w:right w:type="dxa" w:w="120"/>
            </w:tcMar>
            <w:vAlign w:val="center"/>
          </w:tcPr>
          <w:p>
            <w:r>
              <w:rPr>
                <w:b w:val="false"/>
                <w:bCs w:val="false"/>
                <w:color w:val="000000"/>
                <w:sz w:val="20"/>
                <w:szCs w:val="20"/>
              </w:rPr>
              <w:t xml:space="preserve">Talent Acquisition</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22</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Payroll Management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23</w:t>
            </w:r>
          </w:p>
        </w:tc>
        <w:tc>
          <w:tcPr>
            <w:tcW w:type="dxa" w:w="8200"/>
            <w:tcMar>
              <w:top w:type="dxa" w:w="80"/>
              <w:left w:type="dxa" w:w="120"/>
              <w:bottom w:type="dxa" w:w="80"/>
              <w:right w:type="dxa" w:w="120"/>
            </w:tcMar>
            <w:vAlign w:val="center"/>
          </w:tcPr>
          <w:p>
            <w:r>
              <w:rPr>
                <w:b w:val="false"/>
                <w:bCs w:val="false"/>
                <w:color w:val="000000"/>
                <w:sz w:val="20"/>
                <w:szCs w:val="20"/>
              </w:rPr>
              <w:t xml:space="preserve">Travel &amp; Expense Management</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24</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Business Intelligence &amp; Reporting</w:t>
            </w:r>
          </w:p>
        </w:tc>
      </w:tr>
      <w:tr>
        <w:tc>
          <w:tcPr>
            <w:tcW w:type="dxa" w:w="800"/>
            <w:tcMar>
              <w:top w:type="dxa" w:w="80"/>
              <w:left w:type="dxa" w:w="120"/>
              <w:bottom w:type="dxa" w:w="80"/>
              <w:right w:type="dxa" w:w="120"/>
            </w:tcMar>
            <w:vAlign w:val="center"/>
          </w:tcPr>
          <w:p>
            <w:r>
              <w:rPr>
                <w:b w:val="false"/>
                <w:bCs w:val="false"/>
                <w:color w:val="000000"/>
                <w:sz w:val="20"/>
                <w:szCs w:val="20"/>
              </w:rPr>
              <w:t xml:space="preserve">25</w:t>
            </w:r>
          </w:p>
        </w:tc>
        <w:tc>
          <w:tcPr>
            <w:tcW w:type="dxa" w:w="8200"/>
            <w:tcMar>
              <w:top w:type="dxa" w:w="80"/>
              <w:left w:type="dxa" w:w="120"/>
              <w:bottom w:type="dxa" w:w="80"/>
              <w:right w:type="dxa" w:w="120"/>
            </w:tcMar>
            <w:vAlign w:val="center"/>
          </w:tcPr>
          <w:p>
            <w:r>
              <w:rPr>
                <w:b w:val="false"/>
                <w:bCs w:val="false"/>
                <w:color w:val="000000"/>
                <w:sz w:val="20"/>
                <w:szCs w:val="20"/>
              </w:rPr>
              <w:t xml:space="preserve">Master Data Governance</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26</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Integration Management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27</w:t>
            </w:r>
          </w:p>
        </w:tc>
        <w:tc>
          <w:tcPr>
            <w:tcW w:type="dxa" w:w="8200"/>
            <w:tcMar>
              <w:top w:type="dxa" w:w="80"/>
              <w:left w:type="dxa" w:w="120"/>
              <w:bottom w:type="dxa" w:w="80"/>
              <w:right w:type="dxa" w:w="120"/>
            </w:tcMar>
            <w:vAlign w:val="center"/>
          </w:tcPr>
          <w:p>
            <w:r>
              <w:rPr>
                <w:b w:val="false"/>
                <w:bCs w:val="false"/>
                <w:color w:val="000000"/>
                <w:sz w:val="20"/>
                <w:szCs w:val="20"/>
              </w:rPr>
              <w:t xml:space="preserve">Identity &amp; Access Management</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28</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Application Lifecycle Management</w:t>
            </w:r>
          </w:p>
        </w:tc>
      </w:tr>
      <w:tr>
        <w:tc>
          <w:tcPr>
            <w:tcW w:type="dxa" w:w="800"/>
            <w:tcMar>
              <w:top w:type="dxa" w:w="80"/>
              <w:left w:type="dxa" w:w="120"/>
              <w:bottom w:type="dxa" w:w="80"/>
              <w:right w:type="dxa" w:w="120"/>
            </w:tcMar>
            <w:vAlign w:val="center"/>
          </w:tcPr>
          <w:p>
            <w:r>
              <w:rPr>
                <w:b w:val="false"/>
                <w:bCs w:val="false"/>
                <w:color w:val="000000"/>
                <w:sz w:val="20"/>
                <w:szCs w:val="20"/>
              </w:rPr>
              <w:t xml:space="preserve">29</w:t>
            </w:r>
          </w:p>
        </w:tc>
        <w:tc>
          <w:tcPr>
            <w:tcW w:type="dxa" w:w="8200"/>
            <w:tcMar>
              <w:top w:type="dxa" w:w="80"/>
              <w:left w:type="dxa" w:w="120"/>
              <w:bottom w:type="dxa" w:w="80"/>
              <w:right w:type="dxa" w:w="120"/>
            </w:tcMar>
            <w:vAlign w:val="center"/>
          </w:tcPr>
          <w:p>
            <w:r>
              <w:rPr>
                <w:b w:val="false"/>
                <w:bCs w:val="false"/>
                <w:color w:val="000000"/>
                <w:sz w:val="20"/>
                <w:szCs w:val="20"/>
              </w:rPr>
              <w:t xml:space="preserve">IT Service Management</w:t>
            </w:r>
          </w:p>
        </w:tc>
      </w:tr>
      <w:tr>
        <w:tc>
          <w:tcPr>
            <w:tcW w:type="dxa" w:w="800"/>
            <w:shd w:fill="F2F2F2" w:val="clear"/>
            <w:tcMar>
              <w:top w:type="dxa" w:w="80"/>
              <w:left w:type="dxa" w:w="120"/>
              <w:bottom w:type="dxa" w:w="80"/>
              <w:right w:type="dxa" w:w="120"/>
            </w:tcMar>
            <w:vAlign w:val="center"/>
          </w:tcPr>
          <w:p>
            <w:r>
              <w:rPr>
                <w:b w:val="false"/>
                <w:bCs w:val="false"/>
                <w:color w:val="000000"/>
                <w:sz w:val="20"/>
                <w:szCs w:val="20"/>
              </w:rPr>
              <w:t xml:space="preserve">30</w:t>
            </w:r>
          </w:p>
        </w:tc>
        <w:tc>
          <w:tcPr>
            <w:tcW w:type="dxa" w:w="8200"/>
            <w:shd w:fill="F2F2F2" w:val="clear"/>
            <w:tcMar>
              <w:top w:type="dxa" w:w="80"/>
              <w:left w:type="dxa" w:w="120"/>
              <w:bottom w:type="dxa" w:w="80"/>
              <w:right w:type="dxa" w:w="120"/>
            </w:tcMar>
            <w:vAlign w:val="center"/>
          </w:tcPr>
          <w:p>
            <w:r>
              <w:rPr>
                <w:b w:val="false"/>
                <w:bCs w:val="false"/>
                <w:color w:val="000000"/>
                <w:sz w:val="20"/>
                <w:szCs w:val="20"/>
              </w:rPr>
              <w:t xml:space="preserve">Sustainability Management</w:t>
            </w:r>
          </w:p>
        </w:tc>
      </w:tr>
    </w:tbl>
    <w:p>
      <w:pPr>
        <w:spacing w:after="200"/>
      </w:pPr>
    </w:p>
    <w:p>
      <w:pPr>
        <w:pStyle w:val="Heading1"/>
        <w:spacing w:after="160" w:before="360"/>
      </w:pPr>
      <w:r>
        <w:rPr>
          <w:color w:val="1F3864"/>
        </w:rPr>
        <w:t xml:space="preserve">9. Courses of Action</w:t>
      </w:r>
    </w:p>
    <w:p>
      <w:pPr>
        <w:pStyle w:val="ListParagraph"/>
        <w:numPr>
          <w:ilvl w:val="0"/>
          <w:numId w:val="2"/>
        </w:numPr>
        <w:spacing w:after="80"/>
      </w:pPr>
      <w:r>
        <w:t xml:space="preserve">Adopt Clean Core Principles</w:t>
      </w:r>
    </w:p>
    <w:p>
      <w:pPr>
        <w:pStyle w:val="ListParagraph"/>
        <w:numPr>
          <w:ilvl w:val="0"/>
          <w:numId w:val="2"/>
        </w:numPr>
        <w:spacing w:after="80"/>
      </w:pPr>
      <w:r>
        <w:t xml:space="preserve">Consolidate Regional ERP Instances</w:t>
      </w:r>
    </w:p>
    <w:p>
      <w:pPr>
        <w:pStyle w:val="ListParagraph"/>
        <w:numPr>
          <w:ilvl w:val="0"/>
          <w:numId w:val="2"/>
        </w:numPr>
        <w:spacing w:after="80"/>
      </w:pPr>
      <w:r>
        <w:t xml:space="preserve">Move to RISE with SAP Public Cloud</w:t>
      </w:r>
    </w:p>
    <w:p>
      <w:pPr>
        <w:pStyle w:val="ListParagraph"/>
        <w:numPr>
          <w:ilvl w:val="0"/>
          <w:numId w:val="2"/>
        </w:numPr>
        <w:spacing w:after="80"/>
      </w:pPr>
      <w:r>
        <w:t xml:space="preserve">Rationalize Custom Code (Z-objects)</w:t>
      </w:r>
    </w:p>
    <w:p>
      <w:pPr>
        <w:pStyle w:val="ListParagraph"/>
        <w:numPr>
          <w:ilvl w:val="0"/>
          <w:numId w:val="2"/>
        </w:numPr>
        <w:spacing w:after="80"/>
      </w:pPr>
      <w:r>
        <w:t xml:space="preserve">Standardize on SAP BTP for Extensions</w:t>
      </w:r>
    </w:p>
    <w:p>
      <w:pPr>
        <w:pStyle w:val="ListParagraph"/>
        <w:numPr>
          <w:ilvl w:val="0"/>
          <w:numId w:val="2"/>
        </w:numPr>
        <w:spacing w:after="80"/>
      </w:pPr>
      <w:r>
        <w:t xml:space="preserve">Establish API-First Integration Strategy</w:t>
      </w:r>
    </w:p>
    <w:p>
      <w:pPr>
        <w:pStyle w:val="ListParagraph"/>
        <w:numPr>
          <w:ilvl w:val="0"/>
          <w:numId w:val="2"/>
        </w:numPr>
        <w:spacing w:after="80"/>
      </w:pPr>
      <w:r>
        <w:t xml:space="preserve">Centralize Master Data Governance</w:t>
      </w:r>
    </w:p>
    <w:p>
      <w:pPr>
        <w:pStyle w:val="ListParagraph"/>
        <w:numPr>
          <w:ilvl w:val="0"/>
          <w:numId w:val="2"/>
        </w:numPr>
        <w:spacing w:after="80"/>
      </w:pPr>
      <w:r>
        <w:t xml:space="preserve">Adopt Continuous Release Management</w:t>
      </w:r>
    </w:p>
    <w:p>
      <w:pPr>
        <w:pStyle w:val="Heading1"/>
        <w:spacing w:after="160" w:before="360"/>
      </w:pPr>
      <w:r>
        <w:rPr>
          <w:color w:val="1F3864"/>
        </w:rPr>
        <w:t xml:space="preserve">10. Assumptions and Constraints</w:t>
      </w:r>
    </w:p>
    <w:p>
      <w:pPr>
        <w:pStyle w:val="Heading2"/>
        <w:spacing w:after="120" w:before="280"/>
      </w:pPr>
      <w:r>
        <w:rPr>
          <w:color w:val="2E74B5"/>
        </w:rPr>
        <w:t xml:space="preserve">10.1 Constraints</w:t>
      </w:r>
    </w:p>
    <w:p>
      <w:pPr>
        <w:pStyle w:val="ListParagraph"/>
        <w:numPr>
          <w:ilvl w:val="0"/>
          <w:numId w:val="2"/>
        </w:numPr>
        <w:spacing w:after="80"/>
      </w:pPr>
      <w:r>
        <w:t xml:space="preserve">Fixed Go-Live Date</w:t>
      </w:r>
    </w:p>
    <w:p>
      <w:pPr>
        <w:pStyle w:val="ListParagraph"/>
        <w:numPr>
          <w:ilvl w:val="0"/>
          <w:numId w:val="2"/>
        </w:numPr>
        <w:spacing w:after="80"/>
      </w:pPr>
      <w:r>
        <w:t xml:space="preserve">Limited Availability of Skilled BTP Resources</w:t>
      </w:r>
    </w:p>
    <w:p>
      <w:pPr>
        <w:pStyle w:val="ListParagraph"/>
        <w:numPr>
          <w:ilvl w:val="0"/>
          <w:numId w:val="2"/>
        </w:numPr>
        <w:spacing w:after="80"/>
      </w:pPr>
      <w:r>
        <w:t xml:space="preserve">Fixed Program Budget</w:t>
      </w:r>
    </w:p>
    <w:p>
      <w:pPr>
        <w:pStyle w:val="ListParagraph"/>
        <w:numPr>
          <w:ilvl w:val="0"/>
          <w:numId w:val="2"/>
        </w:numPr>
        <w:spacing w:after="80"/>
      </w:pPr>
      <w:r>
        <w:t xml:space="preserve">Mandatory Works Council Approval</w:t>
      </w:r>
    </w:p>
    <w:p>
      <w:pPr>
        <w:pStyle w:val="ListParagraph"/>
        <w:numPr>
          <w:ilvl w:val="0"/>
          <w:numId w:val="2"/>
        </w:numPr>
        <w:spacing w:after="80"/>
      </w:pPr>
      <w:r>
        <w:t xml:space="preserve">Regulatory Data Residency Constraint</w:t>
      </w:r>
    </w:p>
    <w:p>
      <w:pPr>
        <w:pStyle w:val="Heading2"/>
        <w:spacing w:after="120" w:before="280"/>
      </w:pPr>
      <w:r>
        <w:rPr>
          <w:color w:val="2E74B5"/>
        </w:rPr>
        <w:t xml:space="preserve">10.2 Assessments Informing the Vision</w:t>
      </w:r>
    </w:p>
    <w:p>
      <w:pPr>
        <w:pStyle w:val="ListParagraph"/>
        <w:numPr>
          <w:ilvl w:val="0"/>
          <w:numId w:val="2"/>
        </w:numPr>
        <w:spacing w:after="80"/>
      </w:pPr>
      <w:r>
        <w:t xml:space="preserve">Legacy ERP End-of-Maintenance Assessment</w:t>
      </w:r>
    </w:p>
    <w:p>
      <w:pPr>
        <w:pStyle w:val="ListParagraph"/>
        <w:numPr>
          <w:ilvl w:val="0"/>
          <w:numId w:val="2"/>
        </w:numPr>
        <w:spacing w:after="80"/>
      </w:pPr>
      <w:r>
        <w:t xml:space="preserve">Custom Code Usage Assessment</w:t>
      </w:r>
    </w:p>
    <w:p>
      <w:pPr>
        <w:pStyle w:val="ListParagraph"/>
        <w:numPr>
          <w:ilvl w:val="0"/>
          <w:numId w:val="2"/>
        </w:numPr>
        <w:spacing w:after="80"/>
      </w:pPr>
      <w:r>
        <w:t xml:space="preserve">Cloud Readiness Assessment</w:t>
      </w:r>
    </w:p>
    <w:p>
      <w:pPr>
        <w:pStyle w:val="ListParagraph"/>
        <w:numPr>
          <w:ilvl w:val="0"/>
          <w:numId w:val="2"/>
        </w:numPr>
        <w:spacing w:after="80"/>
      </w:pPr>
      <w:r>
        <w:t xml:space="preserve">Integration Complexity Assessment</w:t>
      </w:r>
    </w:p>
    <w:p>
      <w:pPr>
        <w:pStyle w:val="ListParagraph"/>
        <w:numPr>
          <w:ilvl w:val="0"/>
          <w:numId w:val="2"/>
        </w:numPr>
        <w:spacing w:after="80"/>
      </w:pPr>
      <w:r>
        <w:t xml:space="preserve">Data Quality Assessment</w:t>
      </w:r>
    </w:p>
    <w:p>
      <w:pPr>
        <w:pStyle w:val="Heading1"/>
        <w:spacing w:after="160" w:before="360"/>
      </w:pPr>
      <w:r>
        <w:rPr>
          <w:color w:val="1F3864"/>
        </w:rPr>
        <w:t xml:space="preserve">11. Architecture Principles Applied</w:t>
      </w:r>
    </w:p>
    <w:p>
      <w:pPr>
        <w:pStyle w:val="ListParagraph"/>
        <w:numPr>
          <w:ilvl w:val="0"/>
          <w:numId w:val="2"/>
        </w:numPr>
        <w:spacing w:after="80"/>
      </w:pPr>
      <w:r>
        <w:t xml:space="preserve">Keep the Core Clean</w:t>
      </w:r>
    </w:p>
    <w:p>
      <w:pPr>
        <w:pStyle w:val="ListParagraph"/>
        <w:numPr>
          <w:ilvl w:val="0"/>
          <w:numId w:val="2"/>
        </w:numPr>
        <w:spacing w:after="80"/>
      </w:pPr>
      <w:r>
        <w:t xml:space="preserve">Prefer Configuration over Customization</w:t>
      </w:r>
    </w:p>
    <w:p>
      <w:pPr>
        <w:pStyle w:val="ListParagraph"/>
        <w:numPr>
          <w:ilvl w:val="0"/>
          <w:numId w:val="2"/>
        </w:numPr>
        <w:spacing w:after="80"/>
      </w:pPr>
      <w:r>
        <w:t xml:space="preserve">Design for API-First Integration</w:t>
      </w:r>
    </w:p>
    <w:p>
      <w:pPr>
        <w:pStyle w:val="ListParagraph"/>
        <w:numPr>
          <w:ilvl w:val="0"/>
          <w:numId w:val="2"/>
        </w:numPr>
        <w:spacing w:after="80"/>
      </w:pPr>
      <w:r>
        <w:t xml:space="preserve">Adopt Cloud-Native Services by Default</w:t>
      </w:r>
    </w:p>
    <w:p>
      <w:pPr>
        <w:pStyle w:val="ListParagraph"/>
        <w:numPr>
          <w:ilvl w:val="0"/>
          <w:numId w:val="2"/>
        </w:numPr>
        <w:spacing w:after="80"/>
      </w:pPr>
      <w:r>
        <w:t xml:space="preserve">Data Privacy by Design</w:t>
      </w:r>
    </w:p>
    <w:p>
      <w:pPr>
        <w:pStyle w:val="ListParagraph"/>
        <w:numPr>
          <w:ilvl w:val="0"/>
          <w:numId w:val="2"/>
        </w:numPr>
        <w:spacing w:after="80"/>
      </w:pPr>
      <w:r>
        <w:t xml:space="preserve">Reuse before Buy before Build</w:t>
      </w:r>
    </w:p>
    <w:p>
      <w:pPr>
        <w:pStyle w:val="Heading1"/>
        <w:spacing w:after="160" w:before="360"/>
      </w:pPr>
      <w:r>
        <w:rPr>
          <w:color w:val="1F3864"/>
        </w:rPr>
        <w:t xml:space="preserve">12. Target Plateau</w:t>
      </w:r>
    </w:p>
    <w:p>
      <w:pPr>
        <w:spacing w:after="160"/>
      </w:pPr>
      <w:r>
        <w:rPr>
          <w:b w:val="false"/>
          <w:bCs w:val="false"/>
          <w:i w:val="false"/>
          <w:iCs w:val="false"/>
        </w:rPr>
        <w:t xml:space="preserve">The end target for this Architecture Vision is the “Target Architecture (SAP RISE with S/4HANA Cloud)” plateau, reached through the sequence of transition plateaus modelled in the Migration Plateaus view: Baseline Architecture (Legacy ERP) → Transition Architecture 1 (Pilot Rollout) → Transition Architecture 2 (Regional Rollout) → Transition Architecture 3 (Global Rollout) → Target Architecture (SAP RISE with S/4HANA Cloud) → Future State Architecture (Continuous Innovation).</w:t>
      </w:r>
    </w:p>
    <w:p>
      <w:pPr>
        <w:pStyle w:val="Heading1"/>
        <w:spacing w:after="160" w:before="360"/>
      </w:pPr>
      <w:r>
        <w:rPr>
          <w:color w:val="1F3864"/>
        </w:rPr>
        <w:t xml:space="preserve">13. Risks (High-Level)</w:t>
      </w:r>
    </w:p>
    <w:p>
      <w:pPr>
        <w:pStyle w:val="ListParagraph"/>
        <w:numPr>
          <w:ilvl w:val="0"/>
          <w:numId w:val="2"/>
        </w:numPr>
        <w:spacing w:after="80"/>
      </w:pPr>
      <w:r>
        <w:t xml:space="preserve">Fixed go-live date constrains the sequencing of transition plateaus.</w:t>
      </w:r>
    </w:p>
    <w:p>
      <w:pPr>
        <w:pStyle w:val="ListParagraph"/>
        <w:numPr>
          <w:ilvl w:val="0"/>
          <w:numId w:val="2"/>
        </w:numPr>
        <w:spacing w:after="80"/>
      </w:pPr>
      <w:r>
        <w:t xml:space="preserve">Limited availability of skilled SAP BTP resources may slow extension development.</w:t>
      </w:r>
    </w:p>
    <w:p>
      <w:pPr>
        <w:pStyle w:val="ListParagraph"/>
        <w:numPr>
          <w:ilvl w:val="0"/>
          <w:numId w:val="2"/>
        </w:numPr>
        <w:spacing w:after="80"/>
      </w:pPr>
      <w:r>
        <w:t xml:space="preserve">Custom code remediation volume is not yet fully quantified.</w:t>
      </w:r>
    </w:p>
    <w:p>
      <w:pPr>
        <w:pStyle w:val="ListParagraph"/>
        <w:numPr>
          <w:ilvl w:val="0"/>
          <w:numId w:val="2"/>
        </w:numPr>
        <w:spacing w:after="80"/>
      </w:pPr>
      <w:r>
        <w:t xml:space="preserve">Change resistance from business units accustomed to the legacy landscape.</w:t>
      </w:r>
    </w:p>
    <w:p>
      <w:pPr>
        <w:pStyle w:val="Heading1"/>
        <w:spacing w:after="160" w:before="360"/>
      </w:pPr>
      <w:r>
        <w:rPr>
          <w:color w:val="1F3864"/>
        </w:rPr>
        <w:t xml:space="preserve">14. Next Steps</w:t>
      </w:r>
    </w:p>
    <w:p>
      <w:pPr>
        <w:spacing w:after="160"/>
      </w:pPr>
      <w:r>
        <w:rPr>
          <w:b w:val="false"/>
          <w:bCs w:val="false"/>
          <w:i w:val="false"/>
          <w:iCs w:val="false"/>
        </w:rPr>
        <w:t xml:space="preserve">On approval of this Architecture Vision, the programme proceeds to Phase B (Business Architecture), Phase C (Data and Application Architecture), and Phase D (Technology Architecture), each of which elaborates the relevant layers of the SAP Enterprise Repository in detail.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SAP Enterprise Repository –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Architecture Vision – Phase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2026-08-13T09:31:15.095Z</dcterms:created>
  <dcterms:modified xsi:type="dcterms:W3CDTF">2026-08-13T09:31:15.095Z</dcterms:modified>
</cp:coreProperties>
</file>

<file path=docProps/custom.xml><?xml version="1.0" encoding="utf-8"?>
<Properties xmlns="http://schemas.openxmlformats.org/officeDocument/2006/custom-properties" xmlns:vt="http://schemas.openxmlformats.org/officeDocument/2006/docPropsVTypes"/>
</file>